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厦门公物—竞争性磋商—GW2022-SH794—厦门海洋职业技术学院马克思主义学院省级职业教育精品在线开放课程建设项目—采购公告</w:t>
      </w:r>
    </w:p>
    <w:p>
      <w:pPr>
        <w:spacing w:line="360" w:lineRule="auto"/>
        <w:rPr>
          <w:rFonts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采购项目内容：</w:t>
      </w:r>
    </w:p>
    <w:tbl>
      <w:tblPr>
        <w:tblStyle w:val="12"/>
        <w:tblW w:w="928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项目编号：GW2022-SH794</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项目名称：厦门海洋职业技术学院马克思主义学院省级职业教育精品在线开放课程建设项目</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16</w:t>
            </w:r>
            <w:r>
              <w:rPr>
                <w:rFonts w:hint="eastAsia" w:cs="宋体" w:asciiTheme="minorEastAsia" w:hAnsiTheme="minorEastAsia"/>
                <w:color w:val="000000" w:themeColor="text1"/>
                <w:sz w:val="24"/>
                <w:szCs w:val="24"/>
              </w:rPr>
              <w:t>万元</w:t>
            </w:r>
          </w:p>
          <w:p>
            <w:pPr>
              <w:spacing w:line="360" w:lineRule="auto"/>
              <w:rPr>
                <w:rFonts w:hint="eastAsia" w:cs="宋体" w:asciiTheme="minorEastAsia" w:hAnsiTheme="minorEastAsia"/>
                <w:kern w:val="0"/>
                <w:sz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eastAsiaTheme="minorEastAsia"/>
                <w:kern w:val="0"/>
                <w:sz w:val="24"/>
              </w:rPr>
              <w:t>厦门海洋职业技术学院马克思主义学院省级职业教育精品在线开放课程建设</w:t>
            </w:r>
            <w:r>
              <w:rPr>
                <w:rFonts w:hint="eastAsia" w:cs="宋体" w:asciiTheme="minorEastAsia" w:hAnsiTheme="minorEastAsia"/>
                <w:kern w:val="0"/>
                <w:sz w:val="24"/>
                <w:lang w:eastAsia="zh-CN"/>
              </w:rPr>
              <w:t>，</w:t>
            </w:r>
            <w:r>
              <w:rPr>
                <w:rFonts w:hint="eastAsia" w:cs="宋体" w:asciiTheme="minorEastAsia" w:hAnsiTheme="minorEastAsia"/>
                <w:kern w:val="0"/>
                <w:sz w:val="24"/>
                <w:lang w:val="en-US" w:eastAsia="zh-CN"/>
              </w:rPr>
              <w:t>具体详见磋商文件。</w:t>
            </w:r>
          </w:p>
          <w:p>
            <w:pPr>
              <w:spacing w:line="360" w:lineRule="auto"/>
              <w:rPr>
                <w:rFonts w:hint="eastAsia" w:cs="宋体" w:asciiTheme="minorEastAsia" w:hAnsiTheme="minorEastAsia" w:eastAsiaTheme="minorEastAsia"/>
                <w:color w:val="000000" w:themeColor="text1"/>
                <w:sz w:val="24"/>
                <w:szCs w:val="24"/>
                <w:u w:val="single"/>
                <w:lang w:eastAsia="zh-CN"/>
              </w:rPr>
            </w:pPr>
            <w:r>
              <w:rPr>
                <w:rFonts w:hint="eastAsia" w:cs="宋体" w:asciiTheme="minorEastAsia" w:hAnsiTheme="minorEastAsia"/>
                <w:color w:val="000000" w:themeColor="text1"/>
                <w:sz w:val="24"/>
                <w:szCs w:val="24"/>
              </w:rPr>
              <w:t>合同履行期限：</w:t>
            </w:r>
            <w:r>
              <w:rPr>
                <w:rFonts w:hint="eastAsia" w:ascii="宋体" w:hAnsi="宋体"/>
                <w:sz w:val="24"/>
                <w:highlight w:val="none"/>
              </w:rPr>
              <w:t>合同签订后120天内交付</w:t>
            </w:r>
            <w:r>
              <w:rPr>
                <w:rFonts w:hint="eastAsia" w:ascii="宋体" w:hAnsi="宋体"/>
                <w:sz w:val="24"/>
                <w:highlight w:val="none"/>
                <w:lang w:eastAsia="zh-CN"/>
              </w:rPr>
              <w:t>。</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 xml:space="preserve">资信证明复印件或磋商担保函复印件。 </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，享受税收减免政策或因疫情影响享受缓缴或免缴税款的企业，</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，享受社保减免政策或因疫情影响享受缓缴或免缴社保的企业，</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磋商小组通过“信用中国”网站（www.creditchina.gov.cn）、中国政府采购网（www.ccgp.gov.cn）、“信用厦门”网站（credit.xm.gov.cn）、国家企业信用信息公示系统（www.gsxt.gov.cn）查询供应商的信用信息。2、截止时点：查询供应商截止提交响应文件当天前三年内的信用信息。3、查询记录和证据留存方式：磋商小组将查询结果打印后随项目档案一并存档。 4、信用信息的使用规则：（1）查询结果显示供应商存在以下情形之一的，其资格审查不合格：①被“中国政府采购网”列入“政府采购严重违法失信行为信用记录”名单的；②被“信用中国”网站列入“失信被执行人”名单、“税收违法黑名单”的；③被“信用厦门”网站列入“失信被执行人”名单、“地方性黑名单”的；④被“国家企业信用信息公示系统” 列入“严重违法失信企业名单（黑名单）”的。（2）信用信息查询仅以资格审查时通过本条款规定网站的查询结果为准，除以上规定外，其他时间或其他网站的查询信息均不作为审查的依据。（3）联合体成员存在以上情形的，联合体资格审查不合格。5、供应商无需提供信用信息查询结果。若供应商自行提供查询结果的，仍以磋商小组查询结果为准。</w:t>
            </w:r>
          </w:p>
          <w:p>
            <w:pPr>
              <w:widowControl/>
              <w:spacing w:line="360" w:lineRule="auto"/>
              <w:rPr>
                <w:rFonts w:hint="eastAsia" w:asciiTheme="minorEastAsia" w:hAnsiTheme="minorEastAsia" w:eastAsiaTheme="minorEastAsia"/>
                <w:color w:val="000000" w:themeColor="text1"/>
                <w:sz w:val="24"/>
                <w:szCs w:val="24"/>
                <w:lang w:eastAsia="zh-CN"/>
              </w:rPr>
            </w:pPr>
            <w:r>
              <w:rPr>
                <w:rFonts w:hint="eastAsia" w:ascii="宋体" w:hAnsi="宋体" w:cs="宋体"/>
                <w:bCs/>
                <w:kern w:val="0"/>
                <w:sz w:val="24"/>
                <w:lang w:val="en-US" w:eastAsia="zh-CN"/>
              </w:rPr>
              <w:t>九、</w:t>
            </w:r>
            <w:r>
              <w:rPr>
                <w:rFonts w:ascii="宋体" w:hAnsi="宋体" w:cs="宋体"/>
                <w:bCs/>
                <w:kern w:val="0"/>
                <w:sz w:val="24"/>
              </w:rPr>
              <w:t>本</w:t>
            </w:r>
            <w:r>
              <w:rPr>
                <w:rFonts w:hint="eastAsia" w:ascii="宋体" w:hAnsi="宋体" w:cs="宋体"/>
                <w:bCs/>
                <w:kern w:val="0"/>
                <w:sz w:val="24"/>
              </w:rPr>
              <w:t>合同</w:t>
            </w:r>
            <w:r>
              <w:rPr>
                <w:rFonts w:ascii="宋体" w:hAnsi="宋体" w:cs="宋体"/>
                <w:bCs/>
                <w:kern w:val="0"/>
                <w:sz w:val="24"/>
              </w:rPr>
              <w:t>包</w:t>
            </w:r>
            <w:r>
              <w:rPr>
                <w:rFonts w:hint="eastAsia" w:ascii="宋体" w:hAnsi="宋体" w:cs="宋体"/>
                <w:bCs/>
                <w:kern w:val="0"/>
                <w:sz w:val="24"/>
              </w:rPr>
              <w:t>不</w:t>
            </w:r>
            <w:r>
              <w:rPr>
                <w:rFonts w:ascii="宋体" w:hAnsi="宋体" w:cs="宋体"/>
                <w:bCs/>
                <w:kern w:val="0"/>
                <w:sz w:val="24"/>
              </w:rPr>
              <w:t>接受联合体</w:t>
            </w:r>
            <w:r>
              <w:rPr>
                <w:rFonts w:hint="eastAsia" w:ascii="宋体" w:hAnsi="宋体" w:cs="宋体"/>
                <w:bCs/>
                <w:kern w:val="0"/>
                <w:sz w:val="24"/>
              </w:rPr>
              <w:t>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获取采购文件时间：即日起至2022年</w:t>
            </w:r>
            <w:r>
              <w:rPr>
                <w:rFonts w:hint="eastAsia" w:asciiTheme="minorEastAsia" w:hAnsiTheme="minorEastAsia"/>
                <w:color w:val="000000" w:themeColor="text1"/>
                <w:sz w:val="24"/>
                <w:szCs w:val="24"/>
                <w:lang w:val="en-US" w:eastAsia="zh-CN"/>
              </w:rPr>
              <w:t>11</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7</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欲参与本项目的供应商，须先通过公e采电子招标采购服务平台进行相关信息登记、在线支付文件费用，否则其投标（响应）将被拒绝。采购文件以加盖代理机构公章的文件为准。供应商如未在平台注册，请先按平台要求进行注册，注册免费，注册后可免费在线预览招标（采购）文件的主要内容，对平台操作有疑问的，请联系平台客服电话：400-805-9899。</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22</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11</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11</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0</w:t>
            </w:r>
            <w:r>
              <w:rPr>
                <w:rFonts w:hint="eastAsia" w:cs="Times New Roman" w:asciiTheme="minorEastAsia" w:hAnsiTheme="minorEastAsia"/>
                <w:bCs/>
                <w:color w:val="000000"/>
                <w:sz w:val="24"/>
                <w:szCs w:val="24"/>
              </w:rPr>
              <w:t>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26" w:type="dxa"/>
            <w:vAlign w:val="center"/>
          </w:tcPr>
          <w:p>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rPr>
              <w:t>厦门海洋职业技术学院</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cs="宋体" w:asciiTheme="minorEastAsia" w:hAnsiTheme="minorEastAsia" w:eastAsiaTheme="minorEastAsia"/>
                <w:kern w:val="0"/>
                <w:sz w:val="24"/>
              </w:rPr>
              <w:t>福建省厦门市翔安区洪钟大道4566号</w:t>
            </w:r>
          </w:p>
          <w:p>
            <w:pPr>
              <w:spacing w:line="360" w:lineRule="auto"/>
              <w:rPr>
                <w:rFonts w:hint="eastAsia"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联系方式：</w:t>
            </w:r>
            <w:r>
              <w:rPr>
                <w:rFonts w:hint="eastAsia" w:cs="宋体" w:asciiTheme="minorEastAsia" w:hAnsiTheme="minorEastAsia" w:eastAsiaTheme="minorEastAsia"/>
                <w:kern w:val="0"/>
                <w:sz w:val="24"/>
              </w:rPr>
              <w:t>柴老师</w:t>
            </w:r>
            <w:r>
              <w:rPr>
                <w:rFonts w:hint="eastAsia" w:cs="宋体" w:asciiTheme="minorEastAsia" w:hAnsiTheme="minorEastAsia"/>
                <w:kern w:val="0"/>
                <w:sz w:val="24"/>
                <w:lang w:eastAsia="zh-CN"/>
              </w:rPr>
              <w:t>，</w:t>
            </w:r>
            <w:r>
              <w:rPr>
                <w:rFonts w:hint="eastAsia" w:cs="宋体" w:asciiTheme="minorEastAsia" w:hAnsiTheme="minorEastAsia" w:eastAsiaTheme="minorEastAsia"/>
                <w:kern w:val="0"/>
                <w:sz w:val="24"/>
              </w:rPr>
              <w:t>0592-7769270</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5"/>
              <w:rPr>
                <w:rFonts w:hint="eastAsia"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林萍、许世松</w:t>
            </w:r>
          </w:p>
          <w:p>
            <w:pPr>
              <w:spacing w:line="360" w:lineRule="auto"/>
              <w:rPr>
                <w:rFonts w:hint="eastAsia"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hint="eastAsia" w:cs="宋体" w:asciiTheme="minorEastAsia" w:hAnsiTheme="minorEastAsia"/>
                <w:color w:val="000000" w:themeColor="text1"/>
                <w:sz w:val="24"/>
                <w:szCs w:val="24"/>
                <w:lang w:val="en-US" w:eastAsia="zh-CN"/>
              </w:rPr>
              <w:t>2229570、2279305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4AF96E2D"/>
    <w:rsid w:val="5CB45872"/>
    <w:rsid w:val="7D61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color w:val="FF0000"/>
    </w:rPr>
  </w:style>
  <w:style w:type="paragraph" w:styleId="3">
    <w:name w:val="Body Text First Indent"/>
    <w:basedOn w:val="2"/>
    <w:unhideWhenUsed/>
    <w:qFormat/>
    <w:uiPriority w:val="99"/>
    <w:pPr>
      <w:ind w:firstLine="420" w:firstLineChars="100"/>
    </w:pPr>
  </w:style>
  <w:style w:type="paragraph" w:styleId="4">
    <w:name w:val="Salutation"/>
    <w:basedOn w:val="1"/>
    <w:next w:val="1"/>
    <w:link w:val="16"/>
    <w:qFormat/>
    <w:uiPriority w:val="0"/>
    <w:rPr>
      <w:rFonts w:ascii="Times New Roman" w:hAnsi="Times New Roman" w:eastAsia="宋体" w:cs="Times New Roman"/>
      <w:sz w:val="28"/>
      <w:szCs w:val="24"/>
    </w:rPr>
  </w:style>
  <w:style w:type="paragraph" w:styleId="5">
    <w:name w:val="Plain Text"/>
    <w:basedOn w:val="1"/>
    <w:link w:val="17"/>
    <w:semiHidden/>
    <w:unhideWhenUsed/>
    <w:qFormat/>
    <w:uiPriority w:val="99"/>
    <w:pPr>
      <w:spacing w:line="360" w:lineRule="auto"/>
    </w:pPr>
    <w:rPr>
      <w:rFonts w:ascii="宋体" w:hAnsi="Courier New" w:eastAsia="宋体"/>
      <w:sz w:val="24"/>
      <w:szCs w:val="20"/>
    </w:rPr>
  </w:style>
  <w:style w:type="paragraph" w:styleId="6">
    <w:name w:val="Balloon Text"/>
    <w:basedOn w:val="1"/>
    <w:link w:val="15"/>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themeColor="hyperlink"/>
      <w:u w:val="singl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9"/>
    <w:link w:val="8"/>
    <w:semiHidden/>
    <w:qFormat/>
    <w:uiPriority w:val="99"/>
    <w:rPr>
      <w:sz w:val="18"/>
      <w:szCs w:val="18"/>
    </w:rPr>
  </w:style>
  <w:style w:type="character" w:customStyle="1" w:styleId="14">
    <w:name w:val="页脚 Char"/>
    <w:basedOn w:val="9"/>
    <w:link w:val="7"/>
    <w:semiHidden/>
    <w:qFormat/>
    <w:uiPriority w:val="99"/>
    <w:rPr>
      <w:sz w:val="18"/>
      <w:szCs w:val="18"/>
    </w:rPr>
  </w:style>
  <w:style w:type="character" w:customStyle="1" w:styleId="15">
    <w:name w:val="批注框文本 Char"/>
    <w:basedOn w:val="9"/>
    <w:link w:val="6"/>
    <w:semiHidden/>
    <w:qFormat/>
    <w:uiPriority w:val="99"/>
    <w:rPr>
      <w:sz w:val="18"/>
      <w:szCs w:val="18"/>
    </w:rPr>
  </w:style>
  <w:style w:type="character" w:customStyle="1" w:styleId="16">
    <w:name w:val="称呼 Char"/>
    <w:basedOn w:val="9"/>
    <w:link w:val="4"/>
    <w:qFormat/>
    <w:uiPriority w:val="0"/>
    <w:rPr>
      <w:rFonts w:ascii="Times New Roman" w:hAnsi="Times New Roman" w:eastAsia="宋体" w:cs="Times New Roman"/>
      <w:sz w:val="28"/>
      <w:szCs w:val="24"/>
    </w:rPr>
  </w:style>
  <w:style w:type="character" w:customStyle="1" w:styleId="17">
    <w:name w:val="纯文本 Char"/>
    <w:basedOn w:val="9"/>
    <w:link w:val="5"/>
    <w:semiHidden/>
    <w:qFormat/>
    <w:uiPriority w:val="99"/>
    <w:rPr>
      <w:rFonts w:ascii="宋体" w:hAnsi="Courier New" w:eastAsia="宋体"/>
      <w:sz w:val="24"/>
      <w:szCs w:val="20"/>
    </w:rPr>
  </w:style>
  <w:style w:type="paragraph" w:styleId="18">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3</Pages>
  <Words>148</Words>
  <Characters>849</Characters>
  <Lines>7</Lines>
  <Paragraphs>1</Paragraphs>
  <TotalTime>2</TotalTime>
  <ScaleCrop>false</ScaleCrop>
  <LinksUpToDate>false</LinksUpToDate>
  <CharactersWithSpaces>996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2022-10-31T02:23:10Z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