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厦门公物—公开招标—GW2022-SH89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0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厦门海洋职业技术学院2022车铣复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合中心采购建设项目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—招标公告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2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项目编号：GW2022-SH89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项目名称：厦门海洋职业技术学院2022车铣复合中心采购建设项目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预算金额：74.5万元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采购需求：厦门海洋职业技术学院2022车铣复合中心采购建设</w:t>
            </w:r>
            <w:r>
              <w:rPr>
                <w:rFonts w:hint="eastAsia" w:ascii="宋体" w:hAnsi="宋体"/>
                <w:sz w:val="24"/>
              </w:rPr>
              <w:t>，具体详见招标文件。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项目采购的设备装置需于202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日（含当日）之前供货到厦门海洋职业技术学院翔安校区现场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营业执照等证明文件：投标人应具有独立承担民事责任的能力，并提供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单位负责人授权书（若有）：</w:t>
            </w:r>
            <w:r>
              <w:rPr>
                <w:rFonts w:ascii="宋体" w:hAnsi="宋体" w:cs="宋体"/>
                <w:kern w:val="0"/>
                <w:sz w:val="24"/>
              </w:rPr>
              <w:t>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财务状况报告：</w:t>
            </w:r>
            <w:r>
              <w:rPr>
                <w:rFonts w:ascii="宋体" w:hAnsi="宋体" w:cs="宋体"/>
                <w:kern w:val="0"/>
                <w:sz w:val="24"/>
              </w:rPr>
              <w:t>投标人应提供上一年度的财务报告复印件或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资信证明复印件或投标担保函复印件。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依法缴纳税收证明材料：投标人应提供</w:t>
            </w:r>
            <w:r>
              <w:rPr>
                <w:rFonts w:ascii="宋体" w:hAnsi="宋体" w:cs="宋体"/>
                <w:kern w:val="0"/>
                <w:sz w:val="24"/>
              </w:rPr>
              <w:t>投标截止时间前六个月（不含投标截止时间的当月）中任一月份依法缴纳税收的证明复印件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依法缴纳社会保障资金证明材料：</w:t>
            </w:r>
            <w:r>
              <w:rPr>
                <w:rFonts w:ascii="宋体" w:hAnsi="宋体" w:cs="宋体"/>
                <w:kern w:val="0"/>
                <w:sz w:val="24"/>
              </w:rPr>
              <w:t>投标人应提供投标截止时间前六个月（不含投标截止时间的当月）中任一月份依法缴纳社会保障资金的证明复印件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投标人应提供具备履行合同所必需设备和专业技术能力的声明函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2、截止时点：查询投标人截止投标当天前三年内的信用信息。3、查询记录和证据留存方式：资格审查小组将查询结果打印后随项目档案一并存档。 4、信用信息的使用规则：（1）查询结果显示投标人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hint="eastAsia" w:ascii="宋体" w:hAnsi="宋体"/>
                <w:sz w:val="24"/>
              </w:rPr>
              <w:t>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57E2B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5F5FAA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1D20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3D4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458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DF463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3721095"/>
    <w:rsid w:val="3C8F799B"/>
    <w:rsid w:val="475A238C"/>
    <w:rsid w:val="4D70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9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2022-11-17T00:56:56Z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