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-178" w:leftChars="-85" w:right="-674" w:rightChars="-321"/>
        <w:jc w:val="center"/>
        <w:textAlignment w:val="auto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厦门华沧-单一来源采购-</w:t>
      </w:r>
      <w:bookmarkStart w:id="12" w:name="_GoBack"/>
      <w:bookmarkEnd w:id="12"/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2022-HCDY-SH1459-厦门海洋职业技术学院高层次人才网招聘宣传-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结果公告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项目编号：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2022-HCDY-SH1459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厦门海洋职业技术学院高层次人才网招聘宣传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供应商名称：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广州高才信息科技有限公司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供</w:t>
      </w:r>
      <w:r>
        <w:rPr>
          <w:rFonts w:hint="eastAsia" w:ascii="宋体" w:hAnsi="宋体"/>
          <w:sz w:val="28"/>
          <w:szCs w:val="28"/>
          <w:highlight w:val="none"/>
        </w:rPr>
        <w:t>应商地址：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广州市天河区建工路12号301房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成交金额：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￥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2.48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四、主要标的信息</w:t>
      </w:r>
    </w:p>
    <w:tbl>
      <w:tblPr>
        <w:tblStyle w:val="1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1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831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服务名称：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eastAsia="zh-CN"/>
              </w:rPr>
              <w:t>厦门海洋职业技术学院高层次人才网招聘宣传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eastAsia="zh-CN"/>
              </w:rPr>
              <w:t>高层次人才网招聘宣传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服务要求：在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独立的用于人才招聘宣传的高职高专人才招聘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用大字体发布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人才招聘公告链接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服务标准：符合国家相关标准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服务时间：12个月；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五、评审专家名单：邱金桂、林兆毅、汪宗耀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六、代理服务收费标准及金额：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（以成交金额为</w:t>
      </w:r>
      <w:r>
        <w:rPr>
          <w:rFonts w:hint="eastAsia" w:ascii="宋体" w:hAnsi="宋体"/>
          <w:sz w:val="28"/>
          <w:szCs w:val="28"/>
        </w:rPr>
        <w:t>基数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基数≤100万元部分，按1.5%计取；最低收费¥2500元。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</w:rPr>
        <w:t>代理服务费收</w:t>
      </w:r>
      <w:r>
        <w:rPr>
          <w:rFonts w:hint="eastAsia" w:ascii="宋体" w:hAnsi="宋体"/>
          <w:sz w:val="28"/>
          <w:szCs w:val="28"/>
          <w:highlight w:val="none"/>
        </w:rPr>
        <w:t>费金额：</w:t>
      </w:r>
      <w:r>
        <w:rPr>
          <w:rFonts w:hint="eastAsia" w:ascii="Arial" w:hAnsi="Arial" w:cs="Arial"/>
          <w:sz w:val="28"/>
          <w:szCs w:val="28"/>
          <w:highlight w:val="none"/>
          <w:lang w:eastAsia="zh-CN"/>
        </w:rPr>
        <w:t>￥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0.25</w:t>
      </w:r>
      <w:r>
        <w:rPr>
          <w:rFonts w:hint="eastAsia" w:ascii="宋体" w:hAnsi="宋体"/>
          <w:sz w:val="28"/>
          <w:szCs w:val="28"/>
          <w:highlight w:val="none"/>
        </w:rPr>
        <w:t>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七、公告期限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八、其他补充事宜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����" w:hAnsi="����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成交服务费缴交帐户：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����" w:hAnsi="����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开户名：厦门市华沧采购招标有限公司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����" w:hAnsi="����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开户行：厦门银行银隆支行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����" w:hAnsi="����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账  号：8751020109007675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textAlignment w:val="auto"/>
        <w:rPr>
          <w:rFonts w:hint="eastAsia" w:ascii="����" w:hAnsi="����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联系人及联系电话：叶小姐  0592-5333806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50"/>
        <w:textAlignment w:val="auto"/>
        <w:rPr>
          <w:rFonts w:ascii="宋体" w:hAnsi="宋体" w:eastAsia="宋体" w:cs="宋体"/>
          <w:b w:val="0"/>
          <w:sz w:val="28"/>
          <w:szCs w:val="28"/>
        </w:rPr>
      </w:pPr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9" w:leftChars="371" w:hanging="350" w:hangingChars="125"/>
        <w:jc w:val="left"/>
        <w:textAlignment w:val="auto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名    称：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9" w:leftChars="371" w:hanging="350" w:hangingChars="125"/>
        <w:jc w:val="lef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    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厦门市翔安区新店镇洪钟大道4566号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9" w:leftChars="371" w:hanging="350" w:hangingChars="125"/>
        <w:jc w:val="left"/>
        <w:textAlignment w:val="auto"/>
        <w:rPr>
          <w:rFonts w:hint="eastAsia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林老师  0592-7769264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ascii="宋体" w:hAnsi="宋体" w:eastAsia="宋体" w:cs="宋体"/>
          <w:b w:val="0"/>
          <w:sz w:val="28"/>
          <w:szCs w:val="28"/>
        </w:rPr>
      </w:pPr>
      <w:bookmarkStart w:id="4" w:name="_Toc28359101"/>
      <w:bookmarkStart w:id="5" w:name="_Toc35393642"/>
      <w:bookmarkStart w:id="6" w:name="_Toc35393811"/>
      <w:bookmarkStart w:id="7" w:name="_Toc28359024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</w:t>
      </w:r>
      <w:r>
        <w:rPr>
          <w:rFonts w:hint="eastAsia" w:ascii="宋体" w:hAnsi="宋体"/>
          <w:sz w:val="28"/>
          <w:szCs w:val="28"/>
          <w:u w:val="single"/>
        </w:rPr>
        <w:t>厦门市思明区莲岳路221-1号1101单元、厦门市海沧区沧虹路95号工商银行大厦8楼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</w:rPr>
        <w:t>0592-5333087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ascii="宋体" w:hAnsi="宋体" w:eastAsia="宋体" w:cs="宋体"/>
          <w:b w:val="0"/>
          <w:sz w:val="28"/>
          <w:szCs w:val="28"/>
        </w:rPr>
      </w:pPr>
      <w:bookmarkStart w:id="8" w:name="_Toc35393812"/>
      <w:bookmarkStart w:id="9" w:name="_Toc35393643"/>
      <w:bookmarkStart w:id="10" w:name="_Toc28359025"/>
      <w:bookmarkStart w:id="11" w:name="_Toc28359102"/>
      <w:r>
        <w:rPr>
          <w:rFonts w:hint="eastAsia" w:ascii="宋体" w:hAnsi="宋体" w:eastAsia="宋体" w:cs="宋体"/>
          <w:b w:val="0"/>
          <w:sz w:val="28"/>
          <w:szCs w:val="28"/>
        </w:rPr>
        <w:t>3.项目</w:t>
      </w:r>
      <w:r>
        <w:rPr>
          <w:rFonts w:ascii="宋体" w:hAnsi="宋体" w:eastAsia="宋体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>李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0592-5333087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3YzczY2Q1ZTc3ZWM3OTIyOTcwMDQ1NjBmYzk5YTM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E20D5C"/>
    <w:rsid w:val="016B714D"/>
    <w:rsid w:val="04323C66"/>
    <w:rsid w:val="04725735"/>
    <w:rsid w:val="06395760"/>
    <w:rsid w:val="0797173B"/>
    <w:rsid w:val="0A086D57"/>
    <w:rsid w:val="0C534058"/>
    <w:rsid w:val="12A04F4F"/>
    <w:rsid w:val="16F37AC0"/>
    <w:rsid w:val="1A4065B1"/>
    <w:rsid w:val="1C0C6D1D"/>
    <w:rsid w:val="1DFD2697"/>
    <w:rsid w:val="22540088"/>
    <w:rsid w:val="24DC73D9"/>
    <w:rsid w:val="25692226"/>
    <w:rsid w:val="26593E24"/>
    <w:rsid w:val="26A13AFF"/>
    <w:rsid w:val="29F14929"/>
    <w:rsid w:val="2E9147B8"/>
    <w:rsid w:val="30CC4D09"/>
    <w:rsid w:val="334C3190"/>
    <w:rsid w:val="341D2FE8"/>
    <w:rsid w:val="364A1151"/>
    <w:rsid w:val="37F14496"/>
    <w:rsid w:val="3C5866B8"/>
    <w:rsid w:val="3CA462F0"/>
    <w:rsid w:val="412F18D6"/>
    <w:rsid w:val="437D16F6"/>
    <w:rsid w:val="43D250F6"/>
    <w:rsid w:val="45C52BE5"/>
    <w:rsid w:val="4A6C606E"/>
    <w:rsid w:val="4A997FCA"/>
    <w:rsid w:val="4BC50DFF"/>
    <w:rsid w:val="4CB10A55"/>
    <w:rsid w:val="51360AAC"/>
    <w:rsid w:val="531130A4"/>
    <w:rsid w:val="567C7DA1"/>
    <w:rsid w:val="58B16C1F"/>
    <w:rsid w:val="59FA2D8A"/>
    <w:rsid w:val="5ECA7F25"/>
    <w:rsid w:val="64135C82"/>
    <w:rsid w:val="691D5B26"/>
    <w:rsid w:val="6A9E6AD6"/>
    <w:rsid w:val="6BAF7DF4"/>
    <w:rsid w:val="6E497EDA"/>
    <w:rsid w:val="728C68F8"/>
    <w:rsid w:val="75422B35"/>
    <w:rsid w:val="77281157"/>
    <w:rsid w:val="7CB34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link w:val="29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0084FF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semiHidden/>
    <w:unhideWhenUsed/>
    <w:qFormat/>
    <w:uiPriority w:val="99"/>
    <w:rPr>
      <w:color w:val="0084FF"/>
      <w:u w:val="none"/>
    </w:rPr>
  </w:style>
  <w:style w:type="character" w:styleId="21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Keyboard"/>
    <w:basedOn w:val="1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6">
    <w:name w:val="标题 1 Char"/>
    <w:basedOn w:val="16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16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8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9">
    <w:name w:val="纯文本 Char"/>
    <w:basedOn w:val="16"/>
    <w:link w:val="9"/>
    <w:qFormat/>
    <w:uiPriority w:val="0"/>
    <w:rPr>
      <w:rFonts w:ascii="宋体" w:hAnsi="Courier New"/>
    </w:rPr>
  </w:style>
  <w:style w:type="character" w:customStyle="1" w:styleId="30">
    <w:name w:val="批注框文本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568</Words>
  <Characters>692</Characters>
  <Lines>4</Lines>
  <Paragraphs>1</Paragraphs>
  <TotalTime>3</TotalTime>
  <ScaleCrop>false</ScaleCrop>
  <LinksUpToDate>false</LinksUpToDate>
  <CharactersWithSpaces>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偶改湃泳蕉</cp:lastModifiedBy>
  <cp:lastPrinted>2022-12-19T04:01:00Z</cp:lastPrinted>
  <dcterms:modified xsi:type="dcterms:W3CDTF">2022-12-19T06:56:32Z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38616E388AFB4D7D8030F528E9E02A43</vt:lpwstr>
  </property>
</Properties>
</file>