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厦门公物—竞争性谈判—GW2023-SH227—厦门海洋职业技术学院翔安校区“一站式”学生社区“诚毅石”小公园改造项目—采购公告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项目编号：GW2023-SH227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项目名称：厦门海洋职业技术学院翔安校区“一站式”学生社区“诚毅石”小公园改造项目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25.3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采购需求：厦门海洋职业技术学院翔安校区“一站式”学生社区“诚毅石”小公园改造项目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具体详见谈判文件。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 w:cs="Arial"/>
                <w:sz w:val="24"/>
              </w:rPr>
              <w:t>合同签订并收到采购人或监理人下发开工通知后40个日历日</w:t>
            </w:r>
            <w:r>
              <w:rPr>
                <w:rFonts w:hint="eastAsia" w:ascii="宋体" w:hAnsi="宋体"/>
                <w:sz w:val="24"/>
              </w:rPr>
              <w:t>内竣工，并通过验收交付使用。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（响应文件提交截止时间为1-6月的也可提供上上年度）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.信用信息查询渠道：通过“信用中国”网站（www.creditchina.gov.cn）、中国政府采购网（www.ccgp.gov.cn）、“信用厦门”网站（credit.xm.gov.cn）、国家企业信用信息公示系统（www.gsxt.gov.cn）查询供应商的信用信息。2.截止时点：查询供应商截止提交响应文件当天前三年内的信用信息。3.查询记录和证据留存方式：将查询结果打印后随项目档案一并存档。 4.信用信息的使用规则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（1）查询结果显示供应商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.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，供应商需提供《中小企业声明函》，未按要求提供的响应无效。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十一、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供应商应具有建设主管部门颁发的</w:t>
            </w:r>
            <w:r>
              <w:rPr>
                <w:rFonts w:hint="eastAsia" w:ascii="宋体" w:hAnsi="宋体"/>
                <w:b/>
                <w:sz w:val="24"/>
              </w:rPr>
              <w:t>市政公用工程施工总承包三级或以上资质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，并提供资质证书复印件。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十二、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供应商须提供有效的安全生产许可证复印件。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获取方式：通过公e采电子招标采购服务平台(网址 www.xmzfcg.com）在线获取。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0592-7769316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OWZiYmE0NzI2YTE1ZDIzNzJkMjAwNTFlMDEyYTM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790220F"/>
    <w:rsid w:val="547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</w:style>
  <w:style w:type="paragraph" w:styleId="4">
    <w:name w:val="Salutation"/>
    <w:basedOn w:val="1"/>
    <w:next w:val="1"/>
    <w:link w:val="16"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4</Pages>
  <Words>1924</Words>
  <Characters>2129</Characters>
  <Lines>7</Lines>
  <Paragraphs>1</Paragraphs>
  <TotalTime>2</TotalTime>
  <ScaleCrop>false</ScaleCrop>
  <LinksUpToDate>false</LinksUpToDate>
  <CharactersWithSpaces>2133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2023-05-06T03:54:27Z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118EEA51337B4A98B66081F0ABC3706C_13</vt:lpwstr>
  </property>
</Properties>
</file>