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9"/>
          <w:szCs w:val="39"/>
        </w:rPr>
      </w:pPr>
      <w:bookmarkStart w:id="0" w:name="_GoBack"/>
      <w:r>
        <w:rPr>
          <w:b/>
          <w:bCs/>
          <w:i w:val="0"/>
          <w:iCs w:val="0"/>
          <w:caps w:val="0"/>
          <w:color w:val="383940"/>
          <w:spacing w:val="0"/>
          <w:sz w:val="39"/>
          <w:szCs w:val="39"/>
          <w:bdr w:val="none" w:color="auto" w:sz="0" w:space="0"/>
          <w:shd w:val="clear" w:fill="FFFFFF"/>
          <w:vertAlign w:val="baseline"/>
        </w:rPr>
        <w:t>厦门中实－竞争性谈判-2023-ZS1226-2-厦门海洋职业技术学院翔安校区教学楼屋面层连廊及实训楼楼梯间栏杆更换－成交公告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baseline"/>
        <w:rPr>
          <w:color w:val="707070"/>
          <w:sz w:val="18"/>
          <w:szCs w:val="18"/>
        </w:rPr>
      </w:pPr>
      <w:r>
        <w:rPr>
          <w:rFonts w:ascii="微软雅黑" w:hAnsi="微软雅黑" w:eastAsia="微软雅黑" w:cs="微软雅黑"/>
          <w:i w:val="0"/>
          <w:iCs w:val="0"/>
          <w:caps w:val="0"/>
          <w:color w:val="707070"/>
          <w:spacing w:val="0"/>
          <w:sz w:val="18"/>
          <w:szCs w:val="18"/>
          <w:bdr w:val="none" w:color="auto" w:sz="0" w:space="0"/>
          <w:shd w:val="clear" w:fill="FFFFFF"/>
          <w:vertAlign w:val="baseline"/>
        </w:rPr>
        <w:t>2023年07月13日 10:52</w:t>
      </w:r>
      <w:r>
        <w:rPr>
          <w:rFonts w:hint="eastAsia" w:ascii="微软雅黑" w:hAnsi="微软雅黑" w:eastAsia="微软雅黑" w:cs="微软雅黑"/>
          <w:i w:val="0"/>
          <w:iCs w:val="0"/>
          <w:caps w:val="0"/>
          <w:color w:val="707070"/>
          <w:spacing w:val="0"/>
          <w:sz w:val="18"/>
          <w:szCs w:val="18"/>
          <w:bdr w:val="none" w:color="auto" w:sz="0" w:space="0"/>
          <w:shd w:val="clear" w:fill="FFFFFF"/>
          <w:vertAlign w:val="baseline"/>
        </w:rPr>
        <w:t> 来源：中国政府采购网 【打印】 </w:t>
      </w:r>
      <w:r>
        <w:rPr>
          <w:rFonts w:hint="eastAsia" w:ascii="微软雅黑" w:hAnsi="微软雅黑" w:eastAsia="微软雅黑" w:cs="微软雅黑"/>
          <w:i w:val="0"/>
          <w:iCs w:val="0"/>
          <w:caps w:val="0"/>
          <w:color w:val="FFFFFF"/>
          <w:spacing w:val="0"/>
          <w:sz w:val="18"/>
          <w:szCs w:val="18"/>
          <w:bdr w:val="none" w:color="auto" w:sz="0" w:space="0"/>
          <w:shd w:val="clear" w:fill="A00000"/>
          <w:vertAlign w:val="baseline"/>
        </w:rPr>
        <w:t>【显示公告概要】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一、项目编号：2023-ZS1226-2</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（招标文件编号：2023-ZS1226-2）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二、项目名称：厦门海洋职业技术学院翔安校区教学楼屋面层连廊及实训楼楼梯间栏杆更换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三、中标（成交）信息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供应商名称：厦门市益见兴建设有限公司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供应商地址：厦门市湖里区仙岳路1933号1602室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中标（成交）金额：22.9000000（万元）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四、主要标的信息</w:t>
      </w:r>
    </w:p>
    <w:tbl>
      <w:tblPr>
        <w:tblW w:w="0" w:type="auto"/>
        <w:tblInd w:w="1576" w:type="dxa"/>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Layout w:type="autofit"/>
        <w:tblCellMar>
          <w:top w:w="0" w:type="dxa"/>
          <w:left w:w="0" w:type="dxa"/>
          <w:bottom w:w="0" w:type="dxa"/>
          <w:right w:w="0" w:type="dxa"/>
        </w:tblCellMar>
      </w:tblPr>
      <w:tblGrid>
        <w:gridCol w:w="348"/>
        <w:gridCol w:w="834"/>
        <w:gridCol w:w="1032"/>
        <w:gridCol w:w="1131"/>
        <w:gridCol w:w="1131"/>
        <w:gridCol w:w="1132"/>
        <w:gridCol w:w="1132"/>
      </w:tblGrid>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序号</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供应商名称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工程名称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施工范围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施工工期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项目经理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执业证书  </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tblCellMar>
            <w:top w:w="0" w:type="dxa"/>
            <w:left w:w="0" w:type="dxa"/>
            <w:bottom w:w="0" w:type="dxa"/>
            <w:right w:w="0" w:type="dxa"/>
          </w:tblCellMar>
        </w:tblPrEx>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1</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厦门市益见兴建设有限公司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厦门海洋职业技术学院翔安校区教学楼屋面层连廊及实训楼楼梯间栏杆更换1项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  </w:t>
            </w:r>
          </w:p>
        </w:tc>
        <w:tc>
          <w:tcPr>
            <w:tcW w:w="0" w:type="auto"/>
            <w:tcBorders>
              <w:top w:val="outset" w:color="auto" w:sz="6" w:space="0"/>
              <w:left w:val="outset" w:color="auto" w:sz="8" w:space="0"/>
              <w:bottom w:val="outset" w:color="auto" w:sz="8" w:space="0"/>
              <w:right w:val="outset" w:color="auto" w:sz="8" w:space="0"/>
            </w:tcBorders>
            <w:shd w:val="cle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  </w:t>
            </w:r>
          </w:p>
        </w:tc>
      </w:tr>
      <w:tr>
        <w:tblPrEx>
          <w:tblBorders>
            <w:top w:val="outset" w:color="auto" w:sz="18" w:space="0"/>
            <w:left w:val="outset" w:color="auto" w:sz="18" w:space="0"/>
            <w:bottom w:val="outset" w:color="auto" w:sz="18" w:space="0"/>
            <w:right w:val="outset" w:color="auto" w:sz="18" w:space="0"/>
            <w:insideH w:val="outset" w:color="auto" w:sz="18" w:space="0"/>
            <w:insideV w:val="outset" w:color="auto" w:sz="18"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tcMar>
              <w:top w:w="75" w:type="dxa"/>
              <w:left w:w="75" w:type="dxa"/>
              <w:bottom w:w="75" w:type="dxa"/>
              <w:right w:w="75" w:type="dxa"/>
            </w:tcMar>
            <w:vAlign w:val="top"/>
          </w:tcPr>
          <w:p>
            <w:pPr>
              <w:keepNext w:val="0"/>
              <w:keepLines w:val="0"/>
              <w:widowControl/>
              <w:suppressLineNumbers w:val="0"/>
              <w:jc w:val="left"/>
              <w:textAlignment w:val="baseline"/>
            </w:pPr>
            <w:r>
              <w:rPr>
                <w:rFonts w:ascii="宋体" w:hAnsi="宋体" w:eastAsia="宋体" w:cs="宋体"/>
                <w:kern w:val="0"/>
                <w:sz w:val="24"/>
                <w:szCs w:val="24"/>
                <w:bdr w:val="none" w:color="auto" w:sz="0" w:space="0"/>
                <w:vertAlign w:val="baseline"/>
                <w:lang w:val="en-US" w:eastAsia="zh-CN" w:bidi="ar"/>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五、评审专家（单一来源采购人员）名单：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吕志结、叶美铺、王传杰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六、代理服务收费标准及金额：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本项目代理费收费标准：成交价≤100万元部分：收费费率1.8%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本项目代理费总金额：0.4122000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七、公告期限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自本公告发布之日起1个工作日。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八、其它补充事宜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九、凡对本次公告内容提出询问，请按以下方式联系。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称：厦门海洋职业技术学院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地址：厦门市翔安区洪钟路4566号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联系方式：0592-7769317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称：厦门市中实采购招标有限公司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址：厦门市湖滨南路57号金源大厦18楼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联系方式：电话：0592-2202255、2207755(总机)、传真：0592-2212277、2231155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482" w:afterAutospacing="0" w:line="480" w:lineRule="atLeast"/>
        <w:ind w:left="1576" w:right="226"/>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0592-2297851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TQzZWZkMDRiOGM3MzIyYjMxZmE3ODQ5OWIzMmUifQ=="/>
  </w:docVars>
  <w:rsids>
    <w:rsidRoot w:val="00000000"/>
    <w:rsid w:val="79A3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549</Words>
  <Characters>689</Characters>
  <Lines>0</Lines>
  <Paragraphs>0</Paragraphs>
  <TotalTime>0</TotalTime>
  <ScaleCrop>false</ScaleCrop>
  <LinksUpToDate>false</LinksUpToDate>
  <CharactersWithSpaces>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2023-07-13T02:52:18Z</dcterms:created>
  <dc:creator>Administrator</dc:creator>
  <cp:lastModifiedBy>册叔</cp:lastModifiedBy>
  <dcterms:modified xsi:type="dcterms:W3CDTF">2023-07-13T02:52:25Z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A34F46F4C8014535B1F1F90D84DF9216_12</vt:lpwstr>
  </property>
</Properties>
</file>