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2D9FD">
      <w:pPr>
        <w:spacing w:before="312" w:beforeLines="100" w:after="156" w:afterLines="50" w:line="360" w:lineRule="auto"/>
        <w:jc w:val="center"/>
        <w:rPr>
          <w:rFonts w:hint="eastAsia" w:ascii="宋体" w:hAnsi="宋体" w:eastAsia="宋体" w:cs="宋体"/>
          <w:b/>
          <w:sz w:val="36"/>
          <w:szCs w:val="36"/>
        </w:rPr>
      </w:pPr>
      <w:r>
        <w:rPr>
          <w:rFonts w:hint="eastAsia" w:ascii="宋体" w:hAnsi="宋体" w:eastAsia="宋体" w:cs="宋体"/>
          <w:b/>
          <w:sz w:val="36"/>
          <w:szCs w:val="36"/>
        </w:rPr>
        <w:t>福建联审-竞争性谈判-闽联审厦招[2025]0</w:t>
      </w:r>
      <w:r>
        <w:rPr>
          <w:rFonts w:hint="eastAsia" w:ascii="宋体" w:hAnsi="宋体" w:eastAsia="宋体" w:cs="宋体"/>
          <w:b/>
          <w:sz w:val="36"/>
          <w:szCs w:val="36"/>
          <w:lang w:val="en-US" w:eastAsia="zh-CN"/>
        </w:rPr>
        <w:t>19</w:t>
      </w:r>
      <w:r>
        <w:rPr>
          <w:rFonts w:hint="eastAsia" w:ascii="宋体" w:hAnsi="宋体" w:eastAsia="宋体" w:cs="宋体"/>
          <w:b/>
          <w:sz w:val="36"/>
          <w:szCs w:val="36"/>
        </w:rPr>
        <w:t>号-厦门海洋职业技术学院翔安校区食堂一二层用餐区天棚修缮-</w:t>
      </w:r>
      <w:r>
        <w:rPr>
          <w:rFonts w:hint="eastAsia" w:ascii="宋体" w:hAnsi="宋体" w:eastAsia="宋体" w:cs="宋体"/>
          <w:b/>
          <w:sz w:val="36"/>
          <w:szCs w:val="36"/>
          <w:lang w:val="en-US" w:eastAsia="zh-CN"/>
        </w:rPr>
        <w:t>采购</w:t>
      </w:r>
      <w:r>
        <w:rPr>
          <w:rFonts w:hint="eastAsia" w:ascii="宋体" w:hAnsi="宋体" w:eastAsia="宋体" w:cs="宋体"/>
          <w:b/>
          <w:sz w:val="36"/>
          <w:szCs w:val="36"/>
        </w:rPr>
        <w:t>公告</w:t>
      </w:r>
    </w:p>
    <w:p w14:paraId="39E7849D">
      <w:pPr>
        <w:widowControl/>
        <w:spacing w:line="360"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u w:val="single"/>
        </w:rPr>
        <w:t>厦门海洋职业技术学院</w:t>
      </w:r>
      <w:r>
        <w:rPr>
          <w:rFonts w:hint="eastAsia" w:ascii="宋体" w:hAnsi="宋体" w:eastAsia="宋体" w:cs="宋体"/>
          <w:kern w:val="0"/>
          <w:sz w:val="24"/>
        </w:rPr>
        <w:t>确定采用</w:t>
      </w:r>
      <w:r>
        <w:rPr>
          <w:rFonts w:hint="eastAsia" w:ascii="宋体" w:hAnsi="宋体" w:eastAsia="宋体" w:cs="宋体"/>
          <w:kern w:val="0"/>
          <w:sz w:val="24"/>
          <w:u w:val="single"/>
        </w:rPr>
        <w:t xml:space="preserve">  </w:t>
      </w:r>
      <w:r>
        <w:rPr>
          <w:rFonts w:hint="eastAsia" w:ascii="宋体" w:hAnsi="宋体" w:eastAsia="宋体" w:cs="宋体"/>
          <w:b/>
          <w:kern w:val="0"/>
          <w:sz w:val="24"/>
          <w:u w:val="single"/>
        </w:rPr>
        <w:t>竞争性谈判</w:t>
      </w:r>
      <w:r>
        <w:rPr>
          <w:rFonts w:hint="eastAsia" w:ascii="宋体" w:hAnsi="宋体" w:eastAsia="宋体" w:cs="宋体"/>
          <w:kern w:val="0"/>
          <w:sz w:val="24"/>
          <w:u w:val="single"/>
        </w:rPr>
        <w:t xml:space="preserve">  </w:t>
      </w:r>
      <w:r>
        <w:rPr>
          <w:rFonts w:hint="eastAsia" w:ascii="宋体" w:hAnsi="宋体" w:eastAsia="宋体" w:cs="宋体"/>
          <w:kern w:val="0"/>
          <w:sz w:val="24"/>
        </w:rPr>
        <w:t>方式组织</w:t>
      </w:r>
      <w:r>
        <w:rPr>
          <w:rFonts w:hint="eastAsia" w:ascii="宋体" w:hAnsi="宋体" w:eastAsia="宋体" w:cs="宋体"/>
          <w:b/>
          <w:kern w:val="0"/>
          <w:sz w:val="24"/>
          <w:u w:val="single"/>
        </w:rPr>
        <w:t>厦门海洋职业技术学院</w:t>
      </w:r>
      <w:r>
        <w:rPr>
          <w:rFonts w:hint="eastAsia" w:ascii="宋体" w:hAnsi="宋体" w:eastAsia="宋体" w:cs="宋体"/>
          <w:b/>
          <w:kern w:val="0"/>
          <w:sz w:val="24"/>
          <w:u w:val="single"/>
          <w:lang w:eastAsia="zh-CN"/>
        </w:rPr>
        <w:t>翔安校区食堂一二层用餐区天棚修缮</w:t>
      </w:r>
      <w:r>
        <w:rPr>
          <w:rFonts w:hint="eastAsia" w:ascii="宋体" w:hAnsi="宋体" w:eastAsia="宋体" w:cs="宋体"/>
          <w:kern w:val="0"/>
          <w:sz w:val="24"/>
        </w:rPr>
        <w:t>项目（以下简称：“本项目”）的采购活动，现欢迎国内合格的供应商前来参加。本项目由采购人委托</w:t>
      </w:r>
      <w:r>
        <w:rPr>
          <w:rFonts w:hint="eastAsia" w:ascii="宋体" w:hAnsi="宋体" w:eastAsia="宋体" w:cs="宋体"/>
          <w:b/>
          <w:kern w:val="0"/>
          <w:sz w:val="24"/>
          <w:u w:val="single"/>
        </w:rPr>
        <w:t>福建联审工程管理咨询有限公司</w:t>
      </w:r>
      <w:r>
        <w:rPr>
          <w:rFonts w:hint="eastAsia" w:ascii="宋体" w:hAnsi="宋体" w:eastAsia="宋体" w:cs="宋体"/>
          <w:kern w:val="0"/>
          <w:sz w:val="24"/>
        </w:rPr>
        <w:t>开展竞争性谈判活动。</w:t>
      </w:r>
    </w:p>
    <w:p w14:paraId="13B73CAC">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1、项目名称：厦门海洋职业技术学院</w:t>
      </w:r>
      <w:r>
        <w:rPr>
          <w:rFonts w:hint="eastAsia" w:ascii="宋体" w:hAnsi="宋体" w:eastAsia="宋体" w:cs="宋体"/>
          <w:kern w:val="0"/>
          <w:sz w:val="24"/>
          <w:lang w:eastAsia="zh-CN"/>
        </w:rPr>
        <w:t>翔安校区食堂一二层用餐区天棚修缮项目</w:t>
      </w:r>
      <w:r>
        <w:rPr>
          <w:rFonts w:hint="eastAsia" w:ascii="宋体" w:hAnsi="宋体" w:eastAsia="宋体" w:cs="宋体"/>
          <w:kern w:val="0"/>
          <w:sz w:val="24"/>
        </w:rPr>
        <w:t>。</w:t>
      </w:r>
    </w:p>
    <w:p w14:paraId="5352457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2、项目编号：</w:t>
      </w:r>
      <w:r>
        <w:rPr>
          <w:rFonts w:hint="eastAsia" w:ascii="宋体" w:hAnsi="宋体" w:eastAsia="宋体" w:cs="宋体"/>
          <w:kern w:val="0"/>
          <w:sz w:val="24"/>
          <w:lang w:eastAsia="zh-CN"/>
        </w:rPr>
        <w:t>闽联审厦招[2025]019号</w:t>
      </w:r>
      <w:r>
        <w:rPr>
          <w:rFonts w:hint="eastAsia" w:ascii="宋体" w:hAnsi="宋体" w:eastAsia="宋体" w:cs="宋体"/>
          <w:kern w:val="0"/>
          <w:sz w:val="24"/>
        </w:rPr>
        <w:t>。</w:t>
      </w:r>
    </w:p>
    <w:p w14:paraId="6E683F2C">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3、采购内容及要求：</w:t>
      </w:r>
    </w:p>
    <w:tbl>
      <w:tblPr>
        <w:tblStyle w:val="8"/>
        <w:tblW w:w="5133"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8"/>
        <w:gridCol w:w="2719"/>
        <w:gridCol w:w="715"/>
        <w:gridCol w:w="1241"/>
        <w:gridCol w:w="960"/>
        <w:gridCol w:w="1281"/>
        <w:gridCol w:w="1012"/>
        <w:gridCol w:w="1069"/>
      </w:tblGrid>
      <w:tr w14:paraId="43BA45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331" w:type="pct"/>
            <w:tcBorders>
              <w:tl2br w:val="nil"/>
              <w:tr2bl w:val="nil"/>
            </w:tcBorders>
            <w:vAlign w:val="center"/>
          </w:tcPr>
          <w:p w14:paraId="04B7ACF1">
            <w:pPr>
              <w:widowControl/>
              <w:jc w:val="center"/>
              <w:rPr>
                <w:rFonts w:hint="eastAsia" w:ascii="宋体" w:hAnsi="宋体" w:eastAsia="宋体" w:cs="宋体"/>
                <w:kern w:val="0"/>
                <w:sz w:val="24"/>
              </w:rPr>
            </w:pPr>
            <w:r>
              <w:rPr>
                <w:rFonts w:hint="eastAsia" w:ascii="宋体" w:hAnsi="宋体" w:eastAsia="宋体" w:cs="宋体"/>
                <w:kern w:val="0"/>
                <w:sz w:val="24"/>
              </w:rPr>
              <w:t>合同包</w:t>
            </w:r>
          </w:p>
        </w:tc>
        <w:tc>
          <w:tcPr>
            <w:tcW w:w="1411" w:type="pct"/>
            <w:tcBorders>
              <w:tl2br w:val="nil"/>
              <w:tr2bl w:val="nil"/>
            </w:tcBorders>
            <w:vAlign w:val="center"/>
          </w:tcPr>
          <w:p w14:paraId="6D1544CF">
            <w:pPr>
              <w:widowControl/>
              <w:jc w:val="center"/>
              <w:rPr>
                <w:rFonts w:hint="eastAsia" w:ascii="宋体" w:hAnsi="宋体" w:eastAsia="宋体" w:cs="宋体"/>
                <w:kern w:val="0"/>
                <w:sz w:val="24"/>
              </w:rPr>
            </w:pPr>
            <w:r>
              <w:rPr>
                <w:rFonts w:hint="eastAsia" w:ascii="宋体" w:hAnsi="宋体" w:eastAsia="宋体" w:cs="宋体"/>
                <w:kern w:val="0"/>
                <w:sz w:val="24"/>
              </w:rPr>
              <w:t>采购标的</w:t>
            </w:r>
          </w:p>
        </w:tc>
        <w:tc>
          <w:tcPr>
            <w:tcW w:w="371" w:type="pct"/>
            <w:tcBorders>
              <w:tl2br w:val="nil"/>
              <w:tr2bl w:val="nil"/>
            </w:tcBorders>
            <w:vAlign w:val="center"/>
          </w:tcPr>
          <w:p w14:paraId="797CBEBA">
            <w:pPr>
              <w:widowControl/>
              <w:jc w:val="center"/>
              <w:rPr>
                <w:rFonts w:hint="eastAsia" w:ascii="宋体" w:hAnsi="宋体" w:eastAsia="宋体" w:cs="宋体"/>
                <w:kern w:val="0"/>
                <w:sz w:val="24"/>
              </w:rPr>
            </w:pPr>
            <w:r>
              <w:rPr>
                <w:rFonts w:hint="eastAsia" w:ascii="宋体" w:hAnsi="宋体" w:eastAsia="宋体" w:cs="宋体"/>
                <w:kern w:val="0"/>
                <w:sz w:val="24"/>
              </w:rPr>
              <w:t>数量</w:t>
            </w:r>
          </w:p>
        </w:tc>
        <w:tc>
          <w:tcPr>
            <w:tcW w:w="644" w:type="pct"/>
            <w:tcBorders>
              <w:tl2br w:val="nil"/>
              <w:tr2bl w:val="nil"/>
            </w:tcBorders>
            <w:vAlign w:val="center"/>
          </w:tcPr>
          <w:p w14:paraId="6D54EC6A">
            <w:pPr>
              <w:widowControl/>
              <w:jc w:val="center"/>
              <w:rPr>
                <w:rFonts w:hint="eastAsia" w:ascii="宋体" w:hAnsi="宋体" w:eastAsia="宋体" w:cs="宋体"/>
                <w:kern w:val="0"/>
                <w:sz w:val="24"/>
              </w:rPr>
            </w:pPr>
            <w:r>
              <w:rPr>
                <w:rFonts w:hint="eastAsia" w:ascii="宋体" w:hAnsi="宋体" w:eastAsia="宋体" w:cs="宋体"/>
                <w:sz w:val="24"/>
              </w:rPr>
              <w:t>技术规格及要求(工程要求)</w:t>
            </w:r>
          </w:p>
        </w:tc>
        <w:tc>
          <w:tcPr>
            <w:tcW w:w="498" w:type="pct"/>
            <w:tcBorders>
              <w:tl2br w:val="nil"/>
              <w:tr2bl w:val="nil"/>
            </w:tcBorders>
            <w:vAlign w:val="center"/>
          </w:tcPr>
          <w:p w14:paraId="3EBF871D">
            <w:pPr>
              <w:widowControl/>
              <w:jc w:val="center"/>
              <w:rPr>
                <w:rFonts w:hint="eastAsia" w:ascii="宋体" w:hAnsi="宋体" w:eastAsia="宋体" w:cs="宋体"/>
                <w:kern w:val="0"/>
                <w:sz w:val="24"/>
              </w:rPr>
            </w:pPr>
            <w:r>
              <w:rPr>
                <w:rFonts w:hint="eastAsia" w:ascii="宋体" w:hAnsi="宋体" w:eastAsia="宋体" w:cs="宋体"/>
                <w:sz w:val="24"/>
              </w:rPr>
              <w:t>工期</w:t>
            </w:r>
          </w:p>
        </w:tc>
        <w:tc>
          <w:tcPr>
            <w:tcW w:w="665" w:type="pct"/>
            <w:tcBorders>
              <w:tl2br w:val="nil"/>
              <w:tr2bl w:val="nil"/>
            </w:tcBorders>
            <w:vAlign w:val="center"/>
          </w:tcPr>
          <w:p w14:paraId="46AC4D11">
            <w:pPr>
              <w:widowControl/>
              <w:jc w:val="center"/>
              <w:rPr>
                <w:rFonts w:hint="eastAsia" w:ascii="宋体" w:hAnsi="宋体" w:eastAsia="宋体" w:cs="宋体"/>
                <w:kern w:val="0"/>
                <w:sz w:val="24"/>
              </w:rPr>
            </w:pPr>
            <w:r>
              <w:rPr>
                <w:rFonts w:hint="eastAsia" w:ascii="宋体" w:hAnsi="宋体" w:eastAsia="宋体" w:cs="宋体"/>
                <w:sz w:val="24"/>
              </w:rPr>
              <w:t>施工地点</w:t>
            </w:r>
          </w:p>
        </w:tc>
        <w:tc>
          <w:tcPr>
            <w:tcW w:w="525" w:type="pct"/>
            <w:tcBorders>
              <w:tl2br w:val="nil"/>
              <w:tr2bl w:val="nil"/>
            </w:tcBorders>
            <w:vAlign w:val="center"/>
          </w:tcPr>
          <w:p w14:paraId="75FE6C38">
            <w:pPr>
              <w:widowControl/>
              <w:jc w:val="center"/>
              <w:rPr>
                <w:rFonts w:hint="eastAsia" w:ascii="宋体" w:hAnsi="宋体" w:eastAsia="宋体" w:cs="宋体"/>
                <w:kern w:val="0"/>
                <w:sz w:val="24"/>
              </w:rPr>
            </w:pPr>
            <w:r>
              <w:rPr>
                <w:rFonts w:hint="eastAsia" w:ascii="宋体" w:hAnsi="宋体" w:eastAsia="宋体" w:cs="宋体"/>
                <w:kern w:val="0"/>
                <w:sz w:val="24"/>
              </w:rPr>
              <w:t>合同包预算（万元）</w:t>
            </w:r>
          </w:p>
        </w:tc>
        <w:tc>
          <w:tcPr>
            <w:tcW w:w="555" w:type="pct"/>
            <w:tcBorders>
              <w:tl2br w:val="nil"/>
              <w:tr2bl w:val="nil"/>
            </w:tcBorders>
            <w:vAlign w:val="center"/>
          </w:tcPr>
          <w:p w14:paraId="127C7838">
            <w:pPr>
              <w:widowControl/>
              <w:jc w:val="center"/>
              <w:rPr>
                <w:rFonts w:hint="eastAsia" w:ascii="宋体" w:hAnsi="宋体" w:eastAsia="宋体" w:cs="宋体"/>
                <w:kern w:val="0"/>
                <w:sz w:val="24"/>
              </w:rPr>
            </w:pPr>
            <w:r>
              <w:rPr>
                <w:rFonts w:hint="eastAsia" w:ascii="宋体" w:hAnsi="宋体" w:eastAsia="宋体" w:cs="宋体"/>
                <w:kern w:val="0"/>
                <w:sz w:val="24"/>
              </w:rPr>
              <w:t>谈判保证金（元）</w:t>
            </w:r>
          </w:p>
        </w:tc>
      </w:tr>
      <w:tr w14:paraId="592244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263" w:hRule="atLeast"/>
          <w:tblHeader/>
          <w:jc w:val="center"/>
        </w:trPr>
        <w:tc>
          <w:tcPr>
            <w:tcW w:w="331" w:type="pct"/>
            <w:tcBorders>
              <w:tl2br w:val="nil"/>
              <w:tr2bl w:val="nil"/>
            </w:tcBorders>
            <w:vAlign w:val="center"/>
          </w:tcPr>
          <w:p w14:paraId="0F1BEB26">
            <w:pPr>
              <w:widowControl/>
              <w:spacing w:line="276"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1411" w:type="pct"/>
            <w:tcBorders>
              <w:tl2br w:val="nil"/>
              <w:tr2bl w:val="nil"/>
            </w:tcBorders>
            <w:vAlign w:val="center"/>
          </w:tcPr>
          <w:p w14:paraId="62213418">
            <w:pPr>
              <w:widowControl/>
              <w:spacing w:line="276" w:lineRule="auto"/>
              <w:jc w:val="center"/>
              <w:rPr>
                <w:rFonts w:hint="eastAsia" w:ascii="宋体" w:hAnsi="宋体" w:eastAsia="宋体" w:cs="宋体"/>
                <w:kern w:val="0"/>
                <w:sz w:val="24"/>
                <w:lang w:eastAsia="zh-CN"/>
              </w:rPr>
            </w:pPr>
            <w:r>
              <w:rPr>
                <w:rFonts w:hint="eastAsia" w:ascii="宋体" w:hAnsi="宋体" w:eastAsia="宋体" w:cs="宋体"/>
                <w:kern w:val="0"/>
                <w:sz w:val="24"/>
              </w:rPr>
              <w:t>厦门海洋职业技术学院</w:t>
            </w:r>
            <w:r>
              <w:rPr>
                <w:rFonts w:hint="eastAsia" w:ascii="宋体" w:hAnsi="宋体" w:eastAsia="宋体" w:cs="宋体"/>
                <w:kern w:val="0"/>
                <w:sz w:val="24"/>
                <w:lang w:eastAsia="zh-CN"/>
              </w:rPr>
              <w:t>翔安校区食堂一二层用餐区天棚修缮项目</w:t>
            </w:r>
          </w:p>
        </w:tc>
        <w:tc>
          <w:tcPr>
            <w:tcW w:w="371" w:type="pct"/>
            <w:tcBorders>
              <w:tl2br w:val="nil"/>
              <w:tr2bl w:val="nil"/>
            </w:tcBorders>
            <w:vAlign w:val="center"/>
          </w:tcPr>
          <w:p w14:paraId="12548B7E">
            <w:pPr>
              <w:widowControl/>
              <w:spacing w:line="276" w:lineRule="auto"/>
              <w:jc w:val="center"/>
              <w:rPr>
                <w:rFonts w:hint="eastAsia" w:ascii="宋体" w:hAnsi="宋体" w:eastAsia="宋体" w:cs="宋体"/>
                <w:kern w:val="0"/>
                <w:sz w:val="24"/>
              </w:rPr>
            </w:pPr>
            <w:r>
              <w:rPr>
                <w:rFonts w:hint="eastAsia" w:ascii="宋体" w:hAnsi="宋体" w:eastAsia="宋体" w:cs="宋体"/>
                <w:kern w:val="0"/>
                <w:sz w:val="24"/>
              </w:rPr>
              <w:t>1项</w:t>
            </w:r>
          </w:p>
        </w:tc>
        <w:tc>
          <w:tcPr>
            <w:tcW w:w="644" w:type="pct"/>
            <w:tcBorders>
              <w:tl2br w:val="nil"/>
              <w:tr2bl w:val="nil"/>
            </w:tcBorders>
            <w:vAlign w:val="center"/>
          </w:tcPr>
          <w:p w14:paraId="5047959F">
            <w:pPr>
              <w:widowControl/>
              <w:spacing w:line="276" w:lineRule="auto"/>
              <w:jc w:val="center"/>
              <w:rPr>
                <w:rFonts w:hint="eastAsia" w:ascii="宋体" w:hAnsi="宋体" w:eastAsia="宋体" w:cs="宋体"/>
                <w:kern w:val="0"/>
                <w:sz w:val="24"/>
              </w:rPr>
            </w:pPr>
            <w:r>
              <w:rPr>
                <w:rFonts w:hint="eastAsia" w:ascii="宋体" w:hAnsi="宋体" w:eastAsia="宋体" w:cs="宋体"/>
                <w:sz w:val="24"/>
              </w:rPr>
              <w:t>详见谈判文件第三章内容</w:t>
            </w:r>
          </w:p>
        </w:tc>
        <w:tc>
          <w:tcPr>
            <w:tcW w:w="498" w:type="pct"/>
            <w:tcBorders>
              <w:tl2br w:val="nil"/>
              <w:tr2bl w:val="nil"/>
            </w:tcBorders>
            <w:vAlign w:val="center"/>
          </w:tcPr>
          <w:p w14:paraId="40CB80A1">
            <w:pPr>
              <w:widowControl/>
              <w:spacing w:line="276" w:lineRule="auto"/>
              <w:jc w:val="center"/>
              <w:rPr>
                <w:rFonts w:hint="eastAsia" w:ascii="宋体" w:hAnsi="宋体" w:eastAsia="宋体" w:cs="宋体"/>
                <w:kern w:val="0"/>
                <w:sz w:val="24"/>
              </w:rPr>
            </w:pPr>
            <w:r>
              <w:rPr>
                <w:rFonts w:hint="eastAsia" w:ascii="宋体" w:hAnsi="宋体" w:eastAsia="宋体" w:cs="宋体"/>
                <w:sz w:val="24"/>
              </w:rPr>
              <w:t>开工通知发出后30个日历日</w:t>
            </w:r>
          </w:p>
        </w:tc>
        <w:tc>
          <w:tcPr>
            <w:tcW w:w="665" w:type="pct"/>
            <w:tcBorders>
              <w:tl2br w:val="nil"/>
              <w:tr2bl w:val="nil"/>
            </w:tcBorders>
            <w:vAlign w:val="center"/>
          </w:tcPr>
          <w:p w14:paraId="1BC5E011">
            <w:pPr>
              <w:widowControl/>
              <w:spacing w:line="276" w:lineRule="auto"/>
              <w:jc w:val="center"/>
              <w:rPr>
                <w:rFonts w:hint="eastAsia" w:ascii="宋体" w:hAnsi="宋体" w:eastAsia="宋体" w:cs="宋体"/>
                <w:kern w:val="0"/>
                <w:sz w:val="24"/>
              </w:rPr>
            </w:pPr>
            <w:r>
              <w:rPr>
                <w:rFonts w:hint="eastAsia" w:ascii="宋体" w:hAnsi="宋体" w:eastAsia="宋体" w:cs="宋体"/>
                <w:sz w:val="24"/>
              </w:rPr>
              <w:t>厦门海洋职业技术学院翔安校区</w:t>
            </w:r>
          </w:p>
        </w:tc>
        <w:tc>
          <w:tcPr>
            <w:tcW w:w="525" w:type="pct"/>
            <w:tcBorders>
              <w:tl2br w:val="nil"/>
              <w:tr2bl w:val="nil"/>
            </w:tcBorders>
            <w:vAlign w:val="center"/>
          </w:tcPr>
          <w:p w14:paraId="4F897A66">
            <w:pPr>
              <w:widowControl/>
              <w:spacing w:line="276"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17.91</w:t>
            </w:r>
          </w:p>
        </w:tc>
        <w:tc>
          <w:tcPr>
            <w:tcW w:w="555" w:type="pct"/>
            <w:tcBorders>
              <w:tl2br w:val="nil"/>
              <w:tr2bl w:val="nil"/>
            </w:tcBorders>
            <w:vAlign w:val="center"/>
          </w:tcPr>
          <w:p w14:paraId="1CAA245F">
            <w:pPr>
              <w:widowControl/>
              <w:spacing w:line="276" w:lineRule="auto"/>
              <w:jc w:val="center"/>
              <w:rPr>
                <w:rFonts w:hint="eastAsia" w:ascii="宋体" w:hAnsi="宋体" w:eastAsia="宋体" w:cs="宋体"/>
                <w:kern w:val="0"/>
                <w:sz w:val="24"/>
              </w:rPr>
            </w:pPr>
            <w:r>
              <w:rPr>
                <w:rFonts w:hint="eastAsia" w:ascii="宋体" w:hAnsi="宋体" w:eastAsia="宋体" w:cs="宋体"/>
                <w:kern w:val="0"/>
                <w:sz w:val="24"/>
              </w:rPr>
              <w:t>/</w:t>
            </w:r>
          </w:p>
        </w:tc>
      </w:tr>
      <w:tr w14:paraId="105A26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91" w:hRule="atLeast"/>
          <w:tblHeader/>
          <w:jc w:val="center"/>
        </w:trPr>
        <w:tc>
          <w:tcPr>
            <w:tcW w:w="5000" w:type="pct"/>
            <w:gridSpan w:val="8"/>
            <w:tcBorders>
              <w:tl2br w:val="nil"/>
              <w:tr2bl w:val="nil"/>
            </w:tcBorders>
            <w:vAlign w:val="center"/>
          </w:tcPr>
          <w:p w14:paraId="1CDB7F4C">
            <w:pPr>
              <w:widowControl/>
              <w:spacing w:line="276" w:lineRule="auto"/>
              <w:rPr>
                <w:rFonts w:hint="eastAsia" w:ascii="宋体" w:hAnsi="宋体" w:eastAsia="宋体" w:cs="宋体"/>
                <w:kern w:val="0"/>
                <w:szCs w:val="21"/>
              </w:rPr>
            </w:pPr>
            <w:r>
              <w:rPr>
                <w:rFonts w:hint="eastAsia" w:ascii="宋体" w:hAnsi="宋体" w:eastAsia="宋体" w:cs="宋体"/>
                <w:kern w:val="0"/>
                <w:sz w:val="24"/>
              </w:rPr>
              <w:t>说明：本项目的项目性质为自行采购项目（非政府采购项目）。</w:t>
            </w:r>
          </w:p>
        </w:tc>
      </w:tr>
    </w:tbl>
    <w:p w14:paraId="1631C903">
      <w:pPr>
        <w:widowControl/>
        <w:numPr>
          <w:ilvl w:val="0"/>
          <w:numId w:val="1"/>
        </w:num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供应商的资格要求：</w:t>
      </w:r>
    </w:p>
    <w:tbl>
      <w:tblPr>
        <w:tblStyle w:val="9"/>
        <w:tblW w:w="0" w:type="auto"/>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86"/>
      </w:tblGrid>
      <w:tr w14:paraId="50676F3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c>
          <w:tcPr>
            <w:tcW w:w="9286" w:type="dxa"/>
          </w:tcPr>
          <w:p w14:paraId="4E381571">
            <w:pPr>
              <w:widowControl/>
              <w:spacing w:line="360" w:lineRule="auto"/>
              <w:jc w:val="center"/>
              <w:rPr>
                <w:rFonts w:hint="eastAsia" w:ascii="宋体" w:hAnsi="宋体" w:eastAsia="宋体" w:cs="宋体"/>
                <w:b/>
                <w:bCs/>
                <w:kern w:val="0"/>
                <w:sz w:val="28"/>
              </w:rPr>
            </w:pPr>
            <w:r>
              <w:rPr>
                <w:rFonts w:hint="eastAsia" w:ascii="宋体" w:hAnsi="宋体" w:eastAsia="宋体" w:cs="宋体"/>
                <w:b/>
                <w:kern w:val="0"/>
                <w:sz w:val="28"/>
              </w:rPr>
              <w:t>供应商的资格要求</w:t>
            </w:r>
          </w:p>
          <w:p w14:paraId="1D64853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1、一般资格证明文件（所有合同包的供应商均需满足一般资格要求。若为联合体响应的，联合体各方均需满足一般资格要求）：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7347"/>
            </w:tblGrid>
            <w:tr w14:paraId="57BA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pct"/>
                  <w:vAlign w:val="center"/>
                </w:tcPr>
                <w:p w14:paraId="7E6A17FA">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明细</w:t>
                  </w:r>
                </w:p>
              </w:tc>
              <w:tc>
                <w:tcPr>
                  <w:tcW w:w="4054" w:type="pct"/>
                  <w:vAlign w:val="center"/>
                </w:tcPr>
                <w:p w14:paraId="6429BD31">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描述</w:t>
                  </w:r>
                </w:p>
              </w:tc>
            </w:tr>
            <w:tr w14:paraId="3A3C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pct"/>
                  <w:vAlign w:val="center"/>
                </w:tcPr>
                <w:p w14:paraId="7713F986">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营业执照等证明文件</w:t>
                  </w:r>
                </w:p>
              </w:tc>
              <w:tc>
                <w:tcPr>
                  <w:tcW w:w="4054" w:type="pct"/>
                  <w:vAlign w:val="center"/>
                </w:tcPr>
                <w:p w14:paraId="4E1090B3">
                  <w:pPr>
                    <w:widowControl/>
                    <w:spacing w:line="360" w:lineRule="auto"/>
                    <w:rPr>
                      <w:rFonts w:hint="eastAsia" w:ascii="宋体" w:hAnsi="宋体" w:eastAsia="宋体" w:cs="宋体"/>
                      <w:kern w:val="0"/>
                      <w:sz w:val="24"/>
                    </w:rPr>
                  </w:pPr>
                  <w:r>
                    <w:rPr>
                      <w:rFonts w:hint="eastAsia" w:ascii="宋体" w:hAnsi="宋体" w:eastAsia="宋体" w:cs="宋体"/>
                      <w:kern w:val="0"/>
                      <w:sz w:val="24"/>
                    </w:rPr>
                    <w:t>供应商应具有独立承担民事责任的能力，并提供营业执照等证明文件的复印件。</w:t>
                  </w:r>
                </w:p>
              </w:tc>
            </w:tr>
            <w:tr w14:paraId="400B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pct"/>
                  <w:vAlign w:val="center"/>
                </w:tcPr>
                <w:p w14:paraId="64850CB6">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单位负责人证明或授权书</w:t>
                  </w:r>
                </w:p>
              </w:tc>
              <w:tc>
                <w:tcPr>
                  <w:tcW w:w="4054" w:type="pct"/>
                  <w:vAlign w:val="center"/>
                </w:tcPr>
                <w:p w14:paraId="53E7970F">
                  <w:pPr>
                    <w:widowControl/>
                    <w:spacing w:line="360" w:lineRule="auto"/>
                    <w:rPr>
                      <w:rFonts w:hint="eastAsia" w:ascii="宋体" w:hAnsi="宋体" w:eastAsia="宋体" w:cs="宋体"/>
                      <w:kern w:val="0"/>
                      <w:sz w:val="24"/>
                    </w:rPr>
                  </w:pPr>
                  <w:r>
                    <w:rPr>
                      <w:rFonts w:hint="eastAsia" w:ascii="宋体" w:hAnsi="宋体" w:eastAsia="宋体" w:cs="宋体"/>
                      <w:kern w:val="0"/>
                      <w:sz w:val="24"/>
                    </w:rPr>
                    <w:t>（1）若供应商代表为单位负责人，无需提供授权书，但应提供单位负责人身份证复印件。</w:t>
                  </w:r>
                </w:p>
                <w:p w14:paraId="39B8BE9D">
                  <w:pPr>
                    <w:widowControl/>
                    <w:spacing w:line="360" w:lineRule="auto"/>
                    <w:rPr>
                      <w:rFonts w:hint="eastAsia" w:ascii="宋体" w:hAnsi="宋体" w:eastAsia="宋体" w:cs="宋体"/>
                      <w:kern w:val="0"/>
                      <w:sz w:val="24"/>
                    </w:rPr>
                  </w:pPr>
                  <w:r>
                    <w:rPr>
                      <w:rFonts w:hint="eastAsia" w:ascii="宋体" w:hAnsi="宋体" w:eastAsia="宋体" w:cs="宋体"/>
                      <w:kern w:val="0"/>
                      <w:sz w:val="24"/>
                    </w:rPr>
                    <w:t>（2）若供应商代表为单位负责人授权的委托代理人，应提供授权书及供应商代表身份证复印件。</w:t>
                  </w:r>
                </w:p>
              </w:tc>
            </w:tr>
            <w:tr w14:paraId="51B7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pct"/>
                  <w:vAlign w:val="center"/>
                </w:tcPr>
                <w:p w14:paraId="742CAAA3">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具备履行合同所必需设备和专业技术能力的声明函</w:t>
                  </w:r>
                </w:p>
              </w:tc>
              <w:tc>
                <w:tcPr>
                  <w:tcW w:w="4054" w:type="pct"/>
                  <w:vAlign w:val="center"/>
                </w:tcPr>
                <w:p w14:paraId="74B1D8F2">
                  <w:pPr>
                    <w:widowControl/>
                    <w:spacing w:line="360" w:lineRule="auto"/>
                    <w:rPr>
                      <w:rFonts w:hint="eastAsia" w:ascii="宋体" w:hAnsi="宋体" w:eastAsia="宋体" w:cs="宋体"/>
                      <w:kern w:val="0"/>
                      <w:sz w:val="24"/>
                    </w:rPr>
                  </w:pPr>
                  <w:r>
                    <w:rPr>
                      <w:rFonts w:hint="eastAsia" w:ascii="宋体" w:hAnsi="宋体" w:eastAsia="宋体" w:cs="宋体"/>
                      <w:kern w:val="0"/>
                      <w:sz w:val="24"/>
                    </w:rPr>
                    <w:t>供应商应提供具备履行合同所必需设备和专业技术能力的声明函。</w:t>
                  </w:r>
                </w:p>
              </w:tc>
            </w:tr>
            <w:tr w14:paraId="1237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pct"/>
                  <w:vAlign w:val="center"/>
                </w:tcPr>
                <w:p w14:paraId="7E3C6A92">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信用记录要求</w:t>
                  </w:r>
                </w:p>
              </w:tc>
              <w:tc>
                <w:tcPr>
                  <w:tcW w:w="4054" w:type="pct"/>
                  <w:vAlign w:val="center"/>
                </w:tcPr>
                <w:p w14:paraId="3CDA20BC">
                  <w:pPr>
                    <w:widowControl/>
                    <w:spacing w:line="360" w:lineRule="auto"/>
                    <w:rPr>
                      <w:rFonts w:hint="eastAsia" w:ascii="宋体" w:hAnsi="宋体" w:eastAsia="宋体" w:cs="宋体"/>
                      <w:kern w:val="0"/>
                      <w:sz w:val="24"/>
                    </w:rPr>
                  </w:pPr>
                  <w:r>
                    <w:rPr>
                      <w:rFonts w:hint="eastAsia" w:ascii="宋体" w:hAnsi="宋体" w:eastAsia="宋体" w:cs="宋体"/>
                      <w:kern w:val="0"/>
                      <w:sz w:val="24"/>
                    </w:rPr>
                    <w:t>1、信用信息查询渠道：谈判小组通过“信用中国”网站（www.creditchina.gov.cn）、中国政府采购网（www.ccgp.gov.cn）、“信用厦门”网站（credit.xm.gov.cn）、国家企业信用信息公示系统（www.gsxt.gov.cn）查询供应商的信用信息。</w:t>
                  </w:r>
                </w:p>
                <w:p w14:paraId="5CD56F71">
                  <w:pPr>
                    <w:widowControl/>
                    <w:spacing w:line="360" w:lineRule="auto"/>
                    <w:rPr>
                      <w:rFonts w:hint="eastAsia" w:ascii="宋体" w:hAnsi="宋体" w:eastAsia="宋体" w:cs="宋体"/>
                      <w:kern w:val="0"/>
                      <w:sz w:val="24"/>
                    </w:rPr>
                  </w:pPr>
                  <w:r>
                    <w:rPr>
                      <w:rFonts w:hint="eastAsia" w:ascii="宋体" w:hAnsi="宋体" w:eastAsia="宋体" w:cs="宋体"/>
                      <w:kern w:val="0"/>
                      <w:sz w:val="24"/>
                    </w:rPr>
                    <w:t>2、截止时点：查询供应商截止提交响应文件当天前三年内的信用信息。</w:t>
                  </w:r>
                </w:p>
                <w:p w14:paraId="03FB4F74">
                  <w:pPr>
                    <w:widowControl/>
                    <w:spacing w:line="360" w:lineRule="auto"/>
                    <w:rPr>
                      <w:rFonts w:hint="eastAsia" w:ascii="宋体" w:hAnsi="宋体" w:eastAsia="宋体" w:cs="宋体"/>
                      <w:kern w:val="0"/>
                      <w:sz w:val="24"/>
                    </w:rPr>
                  </w:pPr>
                  <w:r>
                    <w:rPr>
                      <w:rFonts w:hint="eastAsia" w:ascii="宋体" w:hAnsi="宋体" w:eastAsia="宋体" w:cs="宋体"/>
                      <w:kern w:val="0"/>
                      <w:sz w:val="24"/>
                    </w:rPr>
                    <w:t xml:space="preserve">3、查询记录和证据留存方式：谈判小组将查询结果打印后随项目档案一并存档。 </w:t>
                  </w:r>
                </w:p>
                <w:p w14:paraId="1DC60247">
                  <w:pPr>
                    <w:widowControl/>
                    <w:spacing w:line="360" w:lineRule="auto"/>
                    <w:rPr>
                      <w:rFonts w:hint="eastAsia" w:ascii="宋体" w:hAnsi="宋体" w:eastAsia="宋体" w:cs="宋体"/>
                      <w:kern w:val="0"/>
                      <w:sz w:val="24"/>
                    </w:rPr>
                  </w:pPr>
                  <w:r>
                    <w:rPr>
                      <w:rFonts w:hint="eastAsia" w:ascii="宋体" w:hAnsi="宋体" w:eastAsia="宋体" w:cs="宋体"/>
                      <w:kern w:val="0"/>
                      <w:sz w:val="24"/>
                    </w:rPr>
                    <w:t>4、信用信息的使用规则：</w:t>
                  </w:r>
                </w:p>
                <w:p w14:paraId="6E689CF4">
                  <w:pPr>
                    <w:widowControl/>
                    <w:spacing w:line="360" w:lineRule="auto"/>
                    <w:rPr>
                      <w:rFonts w:hint="eastAsia" w:ascii="宋体" w:hAnsi="宋体" w:eastAsia="宋体" w:cs="宋体"/>
                      <w:kern w:val="0"/>
                      <w:sz w:val="24"/>
                    </w:rPr>
                  </w:pPr>
                  <w:r>
                    <w:rPr>
                      <w:rFonts w:hint="eastAsia" w:ascii="宋体" w:hAnsi="宋体" w:eastAsia="宋体" w:cs="宋体"/>
                      <w:kern w:val="0"/>
                      <w:sz w:val="24"/>
                    </w:rPr>
                    <w:t>（1）查询结果显示供应商存在以下情形之一的，其资格审查不合格：</w:t>
                  </w:r>
                </w:p>
                <w:p w14:paraId="210BB83D">
                  <w:pPr>
                    <w:widowControl/>
                    <w:spacing w:line="360" w:lineRule="auto"/>
                    <w:rPr>
                      <w:rFonts w:hint="eastAsia" w:ascii="宋体" w:hAnsi="宋体" w:eastAsia="宋体" w:cs="宋体"/>
                      <w:kern w:val="0"/>
                      <w:sz w:val="24"/>
                    </w:rPr>
                  </w:pPr>
                  <w:r>
                    <w:rPr>
                      <w:rFonts w:hint="eastAsia" w:ascii="宋体" w:hAnsi="宋体" w:eastAsia="宋体" w:cs="宋体"/>
                      <w:kern w:val="0"/>
                      <w:sz w:val="24"/>
                    </w:rPr>
                    <w:t>①被“中国政府采购网”列入“政府采购严重违法失信行为信用记录”名单的；</w:t>
                  </w:r>
                </w:p>
                <w:p w14:paraId="329EBAA0">
                  <w:pPr>
                    <w:widowControl/>
                    <w:spacing w:line="360" w:lineRule="auto"/>
                    <w:rPr>
                      <w:rFonts w:hint="eastAsia" w:ascii="宋体" w:hAnsi="宋体" w:eastAsia="宋体" w:cs="宋体"/>
                      <w:kern w:val="0"/>
                      <w:sz w:val="24"/>
                    </w:rPr>
                  </w:pPr>
                  <w:r>
                    <w:rPr>
                      <w:rFonts w:hint="eastAsia" w:ascii="宋体" w:hAnsi="宋体" w:eastAsia="宋体" w:cs="宋体"/>
                      <w:kern w:val="0"/>
                      <w:sz w:val="24"/>
                    </w:rPr>
                    <w:t>②被“信用中国”网站列入“失信被执行人”名单、“税收违法黑名单”的；</w:t>
                  </w:r>
                </w:p>
                <w:p w14:paraId="34112BB5">
                  <w:pPr>
                    <w:widowControl/>
                    <w:spacing w:line="360" w:lineRule="auto"/>
                    <w:rPr>
                      <w:rFonts w:hint="eastAsia" w:ascii="宋体" w:hAnsi="宋体" w:eastAsia="宋体" w:cs="宋体"/>
                      <w:kern w:val="0"/>
                      <w:sz w:val="24"/>
                    </w:rPr>
                  </w:pPr>
                  <w:r>
                    <w:rPr>
                      <w:rFonts w:hint="eastAsia" w:ascii="宋体" w:hAnsi="宋体" w:eastAsia="宋体" w:cs="宋体"/>
                      <w:kern w:val="0"/>
                      <w:sz w:val="24"/>
                    </w:rPr>
                    <w:t>③被“信用厦门”网站列入“失信被执行人”名单、“地方性黑名单”的；</w:t>
                  </w:r>
                </w:p>
                <w:p w14:paraId="2822BB42">
                  <w:pPr>
                    <w:widowControl/>
                    <w:spacing w:line="360" w:lineRule="auto"/>
                    <w:rPr>
                      <w:rFonts w:hint="eastAsia" w:ascii="宋体" w:hAnsi="宋体" w:eastAsia="宋体" w:cs="宋体"/>
                      <w:kern w:val="0"/>
                      <w:sz w:val="24"/>
                    </w:rPr>
                  </w:pPr>
                  <w:r>
                    <w:rPr>
                      <w:rFonts w:hint="eastAsia" w:ascii="宋体" w:hAnsi="宋体" w:eastAsia="宋体" w:cs="宋体"/>
                      <w:kern w:val="0"/>
                      <w:sz w:val="24"/>
                    </w:rPr>
                    <w:t>④被“国家企业信用信息公示系统” 列入“严重违法失信企业名单（黑名单）”的。</w:t>
                  </w:r>
                </w:p>
                <w:p w14:paraId="7487CF54">
                  <w:pPr>
                    <w:widowControl/>
                    <w:spacing w:line="360" w:lineRule="auto"/>
                    <w:rPr>
                      <w:rFonts w:hint="eastAsia" w:ascii="宋体" w:hAnsi="宋体" w:eastAsia="宋体" w:cs="宋体"/>
                      <w:kern w:val="0"/>
                      <w:sz w:val="24"/>
                    </w:rPr>
                  </w:pPr>
                  <w:r>
                    <w:rPr>
                      <w:rFonts w:hint="eastAsia" w:ascii="宋体" w:hAnsi="宋体" w:eastAsia="宋体" w:cs="宋体"/>
                      <w:kern w:val="0"/>
                      <w:sz w:val="24"/>
                    </w:rPr>
                    <w:t>（2）信用信息查询仅以资格审查时通过本条款规定网站的查询结果为准，除以上规定外，其他时间或其他网站的查询信息均不作为审查的依据。</w:t>
                  </w:r>
                </w:p>
                <w:p w14:paraId="3A8F9DD3">
                  <w:pPr>
                    <w:widowControl/>
                    <w:spacing w:line="360" w:lineRule="auto"/>
                    <w:rPr>
                      <w:rFonts w:hint="eastAsia" w:ascii="宋体" w:hAnsi="宋体" w:eastAsia="宋体" w:cs="宋体"/>
                      <w:kern w:val="0"/>
                      <w:sz w:val="24"/>
                    </w:rPr>
                  </w:pPr>
                  <w:r>
                    <w:rPr>
                      <w:rFonts w:hint="eastAsia" w:ascii="宋体" w:hAnsi="宋体" w:eastAsia="宋体" w:cs="宋体"/>
                      <w:kern w:val="0"/>
                      <w:sz w:val="24"/>
                    </w:rPr>
                    <w:t>（3）联合体成员存在以上情形的，联合体资格审查不合格。</w:t>
                  </w:r>
                </w:p>
                <w:p w14:paraId="4DCA7780">
                  <w:pPr>
                    <w:widowControl/>
                    <w:spacing w:line="360" w:lineRule="auto"/>
                    <w:rPr>
                      <w:rFonts w:hint="eastAsia" w:ascii="宋体" w:hAnsi="宋体" w:eastAsia="宋体" w:cs="宋体"/>
                      <w:kern w:val="0"/>
                      <w:sz w:val="24"/>
                    </w:rPr>
                  </w:pPr>
                  <w:r>
                    <w:rPr>
                      <w:rFonts w:hint="eastAsia" w:ascii="宋体" w:hAnsi="宋体" w:eastAsia="宋体" w:cs="宋体"/>
                      <w:kern w:val="0"/>
                      <w:sz w:val="24"/>
                    </w:rPr>
                    <w:t>5、供应商无需提供信用信息查询结果。若供应商自行提供查询结果的，仍以谈判小组查询结果为准。</w:t>
                  </w:r>
                </w:p>
              </w:tc>
            </w:tr>
          </w:tbl>
          <w:p w14:paraId="49BEC0A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2、其他资格证明文件（若为联合体响应的，除另有规定外，联合体各方中至少有一方满足其他资格证明要求）：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4"/>
              <w:gridCol w:w="6326"/>
            </w:tblGrid>
            <w:tr w14:paraId="3104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pct"/>
                  <w:vAlign w:val="center"/>
                </w:tcPr>
                <w:p w14:paraId="4BE3A368">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明细</w:t>
                  </w:r>
                </w:p>
              </w:tc>
              <w:tc>
                <w:tcPr>
                  <w:tcW w:w="3491" w:type="pct"/>
                  <w:vAlign w:val="center"/>
                </w:tcPr>
                <w:p w14:paraId="6A541E4E">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描述</w:t>
                  </w:r>
                </w:p>
              </w:tc>
            </w:tr>
            <w:tr w14:paraId="4C49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pct"/>
                  <w:vAlign w:val="center"/>
                </w:tcPr>
                <w:p w14:paraId="5965006D">
                  <w:pPr>
                    <w:widowControl/>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联合体要求</w:t>
                  </w:r>
                </w:p>
              </w:tc>
              <w:tc>
                <w:tcPr>
                  <w:tcW w:w="3491" w:type="pct"/>
                  <w:vAlign w:val="center"/>
                </w:tcPr>
                <w:p w14:paraId="1797BE88">
                  <w:pPr>
                    <w:widowControl/>
                    <w:spacing w:line="360" w:lineRule="auto"/>
                    <w:jc w:val="left"/>
                    <w:rPr>
                      <w:rFonts w:hint="eastAsia" w:ascii="宋体" w:hAnsi="宋体" w:eastAsia="宋体" w:cs="宋体"/>
                      <w:bCs/>
                      <w:kern w:val="0"/>
                      <w:sz w:val="24"/>
                    </w:rPr>
                  </w:pPr>
                  <w:r>
                    <w:rPr>
                      <w:rFonts w:hint="eastAsia" w:ascii="宋体" w:hAnsi="宋体" w:eastAsia="宋体" w:cs="宋体"/>
                      <w:b/>
                      <w:kern w:val="0"/>
                      <w:sz w:val="24"/>
                    </w:rPr>
                    <w:t>本合同包不接受联合体响应。</w:t>
                  </w:r>
                </w:p>
              </w:tc>
            </w:tr>
            <w:tr w14:paraId="710B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pct"/>
                  <w:vAlign w:val="center"/>
                </w:tcPr>
                <w:p w14:paraId="644D80F3">
                  <w:pPr>
                    <w:widowControl/>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本采购包属于专门面向中小企业采购。</w:t>
                  </w:r>
                </w:p>
              </w:tc>
              <w:tc>
                <w:tcPr>
                  <w:tcW w:w="3491" w:type="pct"/>
                  <w:vAlign w:val="center"/>
                </w:tcPr>
                <w:p w14:paraId="3ADAAB5E">
                  <w:pPr>
                    <w:widowControl/>
                    <w:spacing w:line="360" w:lineRule="auto"/>
                    <w:jc w:val="left"/>
                    <w:rPr>
                      <w:rFonts w:hint="eastAsia" w:ascii="宋体" w:hAnsi="宋体" w:eastAsia="宋体" w:cs="宋体"/>
                      <w:b/>
                      <w:kern w:val="0"/>
                      <w:sz w:val="24"/>
                    </w:rPr>
                  </w:pPr>
                  <w:r>
                    <w:rPr>
                      <w:rFonts w:hint="eastAsia" w:ascii="宋体" w:hAnsi="宋体" w:eastAsia="宋体" w:cs="宋体"/>
                      <w:b/>
                      <w:kern w:val="0"/>
                      <w:sz w:val="24"/>
                    </w:rPr>
                    <w:t>本采购包为专门面向中小企业采购，投标人须提供中小企业声明函。监狱企业、残疾人福利性单位视同小型、微型企业。供应商应符合下列规定，否则响应无效：根据《政府采购促进中小企业发展管理办法》（财库﹝2020﹞46号）的规定，工程的施工单位全部为符合政策要求的中小企业。供应商应按照本项目采购标的所属行业“建筑业”及《关于印发中小企业划型标准规定的通知》（工信部联企业〔2011〕300号）规定的中小行业划型标准，按照采购文件“第五章首次响应文件格式”中“中小企业声明函”格式如实提供声明函，未提供的响应无效。</w:t>
                  </w:r>
                </w:p>
              </w:tc>
            </w:tr>
            <w:tr w14:paraId="6F5E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509" w:type="pct"/>
                  <w:vAlign w:val="center"/>
                </w:tcPr>
                <w:p w14:paraId="2AA3EEA2">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采购人根据采购项目的要求规定的特定条件</w:t>
                  </w:r>
                </w:p>
              </w:tc>
              <w:tc>
                <w:tcPr>
                  <w:tcW w:w="3491" w:type="pct"/>
                  <w:vAlign w:val="center"/>
                </w:tcPr>
                <w:p w14:paraId="02F61208">
                  <w:pPr>
                    <w:widowControl/>
                    <w:spacing w:line="360" w:lineRule="auto"/>
                    <w:jc w:val="left"/>
                    <w:rPr>
                      <w:rFonts w:hint="eastAsia" w:ascii="宋体" w:hAnsi="宋体" w:eastAsia="宋体" w:cs="宋体"/>
                      <w:b/>
                      <w:kern w:val="0"/>
                      <w:sz w:val="24"/>
                    </w:rPr>
                  </w:pPr>
                  <w:r>
                    <w:rPr>
                      <w:rFonts w:hint="eastAsia" w:ascii="宋体" w:hAnsi="宋体" w:eastAsia="宋体" w:cs="宋体"/>
                      <w:b/>
                      <w:kern w:val="0"/>
                      <w:sz w:val="24"/>
                    </w:rPr>
                    <w:t>（一）</w:t>
                  </w:r>
                  <w:r>
                    <w:rPr>
                      <w:rFonts w:hint="eastAsia" w:ascii="宋体" w:hAnsi="宋体" w:eastAsia="宋体" w:cs="宋体"/>
                      <w:b/>
                      <w:color w:val="000000"/>
                      <w:sz w:val="24"/>
                    </w:rPr>
                    <w:t>供应商应具有建设主管部门颁发的有效的建筑装修装饰工程专业承包资质贰级及以上资质，须提供有效证书复印件</w:t>
                  </w:r>
                  <w:r>
                    <w:rPr>
                      <w:rFonts w:hint="eastAsia" w:ascii="宋体" w:hAnsi="宋体" w:eastAsia="宋体" w:cs="宋体"/>
                      <w:color w:val="000000"/>
                      <w:sz w:val="24"/>
                    </w:rPr>
                    <w:t>。</w:t>
                  </w:r>
                </w:p>
              </w:tc>
            </w:tr>
            <w:tr w14:paraId="2E70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509" w:type="pct"/>
                  <w:vAlign w:val="center"/>
                </w:tcPr>
                <w:p w14:paraId="53BC8A4D">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采购人根据采购项目的要求规定的特定条件</w:t>
                  </w:r>
                </w:p>
              </w:tc>
              <w:tc>
                <w:tcPr>
                  <w:tcW w:w="3491" w:type="pct"/>
                  <w:vAlign w:val="center"/>
                </w:tcPr>
                <w:p w14:paraId="078E7424">
                  <w:pPr>
                    <w:widowControl/>
                    <w:spacing w:line="360" w:lineRule="auto"/>
                    <w:jc w:val="left"/>
                    <w:rPr>
                      <w:rFonts w:hint="eastAsia" w:ascii="宋体" w:hAnsi="宋体" w:eastAsia="宋体" w:cs="宋体"/>
                      <w:b/>
                      <w:kern w:val="0"/>
                      <w:sz w:val="24"/>
                    </w:rPr>
                  </w:pPr>
                  <w:r>
                    <w:rPr>
                      <w:rFonts w:hint="eastAsia" w:ascii="宋体" w:hAnsi="宋体" w:eastAsia="宋体" w:cs="宋体"/>
                      <w:b/>
                      <w:kern w:val="0"/>
                      <w:sz w:val="24"/>
                    </w:rPr>
                    <w:t>（二）供应商应具有有效的安全生产许可证，并提供证书复印件。</w:t>
                  </w:r>
                </w:p>
              </w:tc>
            </w:tr>
          </w:tbl>
          <w:p w14:paraId="32F15F3F">
            <w:pPr>
              <w:widowControl/>
              <w:spacing w:line="360" w:lineRule="auto"/>
              <w:jc w:val="left"/>
              <w:rPr>
                <w:rFonts w:hint="eastAsia" w:ascii="宋体" w:hAnsi="宋体" w:eastAsia="宋体" w:cs="宋体"/>
                <w:kern w:val="0"/>
                <w:sz w:val="24"/>
              </w:rPr>
            </w:pPr>
          </w:p>
        </w:tc>
      </w:tr>
    </w:tbl>
    <w:p w14:paraId="3DA3C26A">
      <w:pPr>
        <w:adjustRightInd w:val="0"/>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rPr>
        <w:t>5、供应商报名期限：</w:t>
      </w:r>
      <w:r>
        <w:rPr>
          <w:rFonts w:hint="eastAsia" w:ascii="宋体" w:hAnsi="宋体" w:eastAsia="宋体" w:cs="宋体"/>
          <w:bCs/>
          <w:sz w:val="24"/>
          <w:u w:val="single"/>
        </w:rPr>
        <w:t xml:space="preserve"> 202</w:t>
      </w:r>
      <w:r>
        <w:rPr>
          <w:rFonts w:hint="eastAsia" w:ascii="宋体" w:hAnsi="宋体" w:eastAsia="宋体" w:cs="宋体"/>
          <w:bCs/>
          <w:sz w:val="24"/>
          <w:u w:val="single"/>
          <w:lang w:val="en-US" w:eastAsia="zh-CN"/>
        </w:rPr>
        <w:t>5</w:t>
      </w:r>
      <w:r>
        <w:rPr>
          <w:rFonts w:hint="eastAsia" w:ascii="宋体" w:hAnsi="宋体" w:eastAsia="宋体" w:cs="宋体"/>
          <w:bCs/>
          <w:sz w:val="24"/>
        </w:rPr>
        <w:t>年</w:t>
      </w:r>
      <w:r>
        <w:rPr>
          <w:rFonts w:hint="eastAsia" w:ascii="宋体" w:hAnsi="宋体" w:eastAsia="宋体" w:cs="宋体"/>
          <w:bCs/>
          <w:sz w:val="24"/>
          <w:u w:val="single"/>
        </w:rPr>
        <w:t>0</w:t>
      </w:r>
      <w:r>
        <w:rPr>
          <w:rFonts w:hint="eastAsia" w:ascii="宋体" w:hAnsi="宋体" w:eastAsia="宋体" w:cs="宋体"/>
          <w:bCs/>
          <w:sz w:val="24"/>
          <w:u w:val="single"/>
          <w:lang w:val="en-US" w:eastAsia="zh-CN"/>
        </w:rPr>
        <w:t>3</w:t>
      </w:r>
      <w:r>
        <w:rPr>
          <w:rFonts w:hint="eastAsia" w:ascii="宋体" w:hAnsi="宋体" w:eastAsia="宋体" w:cs="宋体"/>
          <w:sz w:val="24"/>
        </w:rPr>
        <w:t>月</w:t>
      </w:r>
      <w:r>
        <w:rPr>
          <w:rFonts w:hint="eastAsia" w:ascii="宋体" w:hAnsi="宋体" w:eastAsia="宋体" w:cs="宋体"/>
          <w:sz w:val="24"/>
          <w:u w:val="single"/>
          <w:lang w:val="en-US" w:eastAsia="zh-CN"/>
        </w:rPr>
        <w:t>24</w:t>
      </w:r>
      <w:r>
        <w:rPr>
          <w:rFonts w:hint="eastAsia" w:ascii="宋体" w:hAnsi="宋体" w:eastAsia="宋体" w:cs="宋体"/>
          <w:sz w:val="24"/>
        </w:rPr>
        <w:t>日至</w:t>
      </w:r>
      <w:r>
        <w:rPr>
          <w:rFonts w:hint="eastAsia" w:ascii="宋体" w:hAnsi="宋体" w:eastAsia="宋体" w:cs="宋体"/>
          <w:sz w:val="24"/>
          <w:u w:val="single"/>
        </w:rPr>
        <w:t xml:space="preserve"> 202</w:t>
      </w:r>
      <w:r>
        <w:rPr>
          <w:rFonts w:hint="eastAsia" w:ascii="宋体" w:hAnsi="宋体" w:eastAsia="宋体" w:cs="宋体"/>
          <w:sz w:val="24"/>
          <w:u w:val="single"/>
          <w:lang w:val="en-US" w:eastAsia="zh-CN"/>
        </w:rPr>
        <w:t>5</w:t>
      </w:r>
      <w:r>
        <w:rPr>
          <w:rFonts w:hint="eastAsia" w:ascii="宋体" w:hAnsi="宋体" w:eastAsia="宋体" w:cs="宋体"/>
          <w:sz w:val="24"/>
        </w:rPr>
        <w:t>年</w:t>
      </w:r>
      <w:r>
        <w:rPr>
          <w:rFonts w:hint="eastAsia" w:ascii="宋体" w:hAnsi="宋体" w:eastAsia="宋体" w:cs="宋体"/>
          <w:sz w:val="24"/>
          <w:u w:val="single"/>
        </w:rPr>
        <w:t>0</w:t>
      </w:r>
      <w:r>
        <w:rPr>
          <w:rFonts w:hint="eastAsia" w:ascii="宋体" w:hAnsi="宋体" w:eastAsia="宋体" w:cs="宋体"/>
          <w:sz w:val="24"/>
          <w:u w:val="single"/>
          <w:lang w:val="en-US" w:eastAsia="zh-CN"/>
        </w:rPr>
        <w:t>3</w:t>
      </w:r>
      <w:r>
        <w:rPr>
          <w:rFonts w:hint="eastAsia" w:ascii="宋体" w:hAnsi="宋体" w:eastAsia="宋体" w:cs="宋体"/>
          <w:sz w:val="24"/>
        </w:rPr>
        <w:t>月</w:t>
      </w:r>
      <w:r>
        <w:rPr>
          <w:rFonts w:hint="eastAsia" w:ascii="宋体" w:hAnsi="宋体" w:cs="宋体"/>
          <w:sz w:val="24"/>
          <w:u w:val="single"/>
          <w:lang w:val="en-US" w:eastAsia="zh-CN"/>
        </w:rPr>
        <w:t>27</w:t>
      </w:r>
      <w:r>
        <w:rPr>
          <w:rFonts w:hint="eastAsia" w:ascii="宋体" w:hAnsi="宋体" w:eastAsia="宋体" w:cs="宋体"/>
          <w:sz w:val="24"/>
        </w:rPr>
        <w:t>日(节假日除外)上午</w:t>
      </w:r>
      <w:r>
        <w:rPr>
          <w:rFonts w:hint="eastAsia" w:ascii="宋体" w:hAnsi="宋体" w:eastAsia="宋体" w:cs="宋体"/>
          <w:sz w:val="24"/>
          <w:u w:val="single"/>
        </w:rPr>
        <w:t>9：00</w:t>
      </w:r>
      <w:r>
        <w:rPr>
          <w:rFonts w:hint="eastAsia" w:ascii="宋体" w:hAnsi="宋体" w:eastAsia="宋体" w:cs="宋体"/>
          <w:sz w:val="24"/>
        </w:rPr>
        <w:t>至</w:t>
      </w:r>
      <w:r>
        <w:rPr>
          <w:rFonts w:hint="eastAsia" w:ascii="宋体" w:hAnsi="宋体" w:eastAsia="宋体" w:cs="宋体"/>
          <w:sz w:val="24"/>
          <w:u w:val="single"/>
        </w:rPr>
        <w:t xml:space="preserve"> 12:00</w:t>
      </w:r>
      <w:r>
        <w:rPr>
          <w:rFonts w:hint="eastAsia" w:ascii="宋体" w:hAnsi="宋体" w:eastAsia="宋体" w:cs="宋体"/>
          <w:sz w:val="24"/>
        </w:rPr>
        <w:t>，下午</w:t>
      </w:r>
      <w:r>
        <w:rPr>
          <w:rFonts w:hint="eastAsia" w:ascii="宋体" w:hAnsi="宋体" w:eastAsia="宋体" w:cs="宋体"/>
          <w:sz w:val="24"/>
          <w:u w:val="single"/>
        </w:rPr>
        <w:t xml:space="preserve"> 15：00 </w:t>
      </w:r>
      <w:r>
        <w:rPr>
          <w:rFonts w:hint="eastAsia" w:ascii="宋体" w:hAnsi="宋体" w:eastAsia="宋体" w:cs="宋体"/>
          <w:sz w:val="24"/>
        </w:rPr>
        <w:t>至</w:t>
      </w:r>
      <w:r>
        <w:rPr>
          <w:rFonts w:hint="eastAsia" w:ascii="宋体" w:hAnsi="宋体" w:eastAsia="宋体" w:cs="宋体"/>
          <w:sz w:val="24"/>
          <w:u w:val="single"/>
        </w:rPr>
        <w:t xml:space="preserve"> 17：30 </w:t>
      </w:r>
      <w:r>
        <w:rPr>
          <w:rFonts w:hint="eastAsia" w:ascii="宋体" w:hAnsi="宋体" w:eastAsia="宋体" w:cs="宋体"/>
          <w:sz w:val="24"/>
        </w:rPr>
        <w:t>（北京时间）在</w:t>
      </w:r>
      <w:r>
        <w:rPr>
          <w:rFonts w:hint="eastAsia" w:ascii="宋体" w:hAnsi="宋体" w:eastAsia="宋体" w:cs="宋体"/>
          <w:sz w:val="24"/>
          <w:u w:val="single"/>
        </w:rPr>
        <w:t xml:space="preserve"> </w:t>
      </w:r>
      <w:r>
        <w:rPr>
          <w:rFonts w:hint="eastAsia" w:ascii="宋体" w:hAnsi="宋体" w:eastAsia="宋体" w:cs="宋体"/>
          <w:sz w:val="24"/>
          <w:u w:val="single"/>
          <w:lang w:eastAsia="zh-CN"/>
        </w:rPr>
        <w:t>福建省厦门市湖里区嘉禾路468-3号SM国际中心C栋806</w:t>
      </w:r>
      <w:r>
        <w:rPr>
          <w:rFonts w:hint="eastAsia" w:ascii="宋体" w:hAnsi="宋体" w:eastAsia="宋体" w:cs="宋体"/>
          <w:sz w:val="24"/>
          <w:u w:val="single"/>
        </w:rPr>
        <w:t xml:space="preserve">，福建联审工程管理咨询有限公司 </w:t>
      </w:r>
      <w:r>
        <w:rPr>
          <w:rFonts w:hint="eastAsia" w:ascii="宋体" w:hAnsi="宋体" w:eastAsia="宋体" w:cs="宋体"/>
          <w:sz w:val="24"/>
        </w:rPr>
        <w:t>购买谈判文件。联系人：</w:t>
      </w:r>
      <w:r>
        <w:rPr>
          <w:rFonts w:hint="eastAsia" w:ascii="宋体" w:hAnsi="宋体" w:eastAsia="宋体" w:cs="宋体"/>
          <w:b/>
          <w:sz w:val="24"/>
          <w:u w:val="single"/>
          <w:lang w:val="en-US" w:eastAsia="zh-CN"/>
        </w:rPr>
        <w:t>项炽江</w:t>
      </w:r>
      <w:r>
        <w:rPr>
          <w:rFonts w:hint="eastAsia" w:ascii="宋体" w:hAnsi="宋体" w:eastAsia="宋体" w:cs="宋体"/>
          <w:sz w:val="24"/>
        </w:rPr>
        <w:t>，联系电话：</w:t>
      </w:r>
      <w:r>
        <w:rPr>
          <w:rFonts w:hint="eastAsia" w:ascii="宋体" w:hAnsi="宋体" w:eastAsia="宋体" w:cs="宋体"/>
          <w:sz w:val="24"/>
          <w:u w:val="single"/>
        </w:rPr>
        <w:t xml:space="preserve"> 0592-6215259 </w:t>
      </w:r>
      <w:r>
        <w:rPr>
          <w:rFonts w:hint="eastAsia" w:ascii="宋体" w:hAnsi="宋体" w:eastAsia="宋体" w:cs="宋体"/>
          <w:kern w:val="0"/>
          <w:sz w:val="24"/>
          <w:shd w:val="clear" w:color="auto" w:fill="FFFFFF"/>
        </w:rPr>
        <w:t>。</w:t>
      </w:r>
    </w:p>
    <w:p w14:paraId="21AEE11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6、谈判文件售价</w:t>
      </w:r>
      <w:r>
        <w:rPr>
          <w:rFonts w:hint="eastAsia" w:ascii="宋体" w:hAnsi="宋体" w:eastAsia="宋体" w:cs="宋体"/>
          <w:sz w:val="24"/>
          <w:u w:val="single"/>
        </w:rPr>
        <w:t xml:space="preserve"> </w:t>
      </w:r>
      <w:r>
        <w:rPr>
          <w:rFonts w:hint="eastAsia" w:ascii="宋体" w:hAnsi="宋体" w:eastAsia="宋体" w:cs="宋体"/>
          <w:b/>
          <w:sz w:val="24"/>
          <w:u w:val="single"/>
        </w:rPr>
        <w:t xml:space="preserve">200 </w:t>
      </w:r>
      <w:r>
        <w:rPr>
          <w:rFonts w:hint="eastAsia" w:ascii="宋体" w:hAnsi="宋体" w:eastAsia="宋体" w:cs="宋体"/>
          <w:sz w:val="24"/>
          <w:u w:val="single"/>
        </w:rPr>
        <w:t xml:space="preserve"> </w:t>
      </w:r>
      <w:r>
        <w:rPr>
          <w:rFonts w:hint="eastAsia" w:ascii="宋体" w:hAnsi="宋体" w:eastAsia="宋体" w:cs="宋体"/>
          <w:sz w:val="24"/>
        </w:rPr>
        <w:t>元人民币（邮寄费</w:t>
      </w:r>
      <w:r>
        <w:rPr>
          <w:rFonts w:hint="eastAsia" w:ascii="宋体" w:hAnsi="宋体" w:eastAsia="宋体" w:cs="宋体"/>
          <w:sz w:val="24"/>
          <w:u w:val="single"/>
        </w:rPr>
        <w:t xml:space="preserve"> / </w:t>
      </w:r>
      <w:r>
        <w:rPr>
          <w:rFonts w:hint="eastAsia" w:ascii="宋体" w:hAnsi="宋体" w:eastAsia="宋体" w:cs="宋体"/>
          <w:sz w:val="24"/>
        </w:rPr>
        <w:t>），售后不退。</w:t>
      </w:r>
    </w:p>
    <w:p w14:paraId="3AB3B95D">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shd w:val="clear" w:color="auto" w:fill="FFFFFF"/>
        </w:rPr>
        <w:t>如果采购过程中有发出更正公告，采购人将根据实际情况确定是否延长报名期限，则报名截止时间以更正公告中的约定为准。</w:t>
      </w:r>
    </w:p>
    <w:p w14:paraId="4E5FC92E">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7、首次响应文件递交截止时间及地点：供应商应在</w:t>
      </w:r>
      <w:r>
        <w:rPr>
          <w:rFonts w:hint="eastAsia" w:ascii="宋体" w:hAnsi="宋体" w:eastAsia="宋体" w:cs="宋体"/>
          <w:b/>
          <w:bCs/>
          <w:kern w:val="0"/>
          <w:sz w:val="24"/>
          <w:u w:val="double"/>
        </w:rPr>
        <w:t>202</w:t>
      </w:r>
      <w:r>
        <w:rPr>
          <w:rFonts w:hint="eastAsia" w:ascii="宋体" w:hAnsi="宋体" w:eastAsia="宋体" w:cs="宋体"/>
          <w:b/>
          <w:bCs/>
          <w:kern w:val="0"/>
          <w:sz w:val="24"/>
          <w:u w:val="double"/>
          <w:lang w:val="en-US" w:eastAsia="zh-CN"/>
        </w:rPr>
        <w:t>5</w:t>
      </w:r>
      <w:r>
        <w:rPr>
          <w:rFonts w:hint="eastAsia" w:ascii="宋体" w:hAnsi="宋体" w:eastAsia="宋体" w:cs="宋体"/>
          <w:b/>
          <w:bCs/>
          <w:kern w:val="0"/>
          <w:sz w:val="24"/>
          <w:u w:val="double"/>
        </w:rPr>
        <w:t>年</w:t>
      </w:r>
      <w:r>
        <w:rPr>
          <w:rFonts w:hint="eastAsia" w:ascii="宋体" w:hAnsi="宋体" w:cs="宋体"/>
          <w:b/>
          <w:bCs/>
          <w:sz w:val="24"/>
          <w:u w:val="double"/>
          <w:lang w:val="en-US" w:eastAsia="zh-CN"/>
        </w:rPr>
        <w:t>03</w:t>
      </w:r>
      <w:r>
        <w:rPr>
          <w:rFonts w:hint="eastAsia" w:ascii="宋体" w:hAnsi="宋体" w:eastAsia="宋体" w:cs="宋体"/>
          <w:b/>
          <w:bCs/>
          <w:kern w:val="0"/>
          <w:sz w:val="24"/>
          <w:u w:val="double"/>
        </w:rPr>
        <w:t>月</w:t>
      </w:r>
      <w:r>
        <w:rPr>
          <w:rFonts w:hint="eastAsia" w:ascii="宋体" w:hAnsi="宋体" w:cs="宋体"/>
          <w:b/>
          <w:bCs/>
          <w:sz w:val="24"/>
          <w:u w:val="double"/>
          <w:lang w:val="en-US" w:eastAsia="zh-CN"/>
        </w:rPr>
        <w:t>28</w:t>
      </w:r>
      <w:r>
        <w:rPr>
          <w:rFonts w:hint="eastAsia" w:ascii="宋体" w:hAnsi="宋体" w:eastAsia="宋体" w:cs="宋体"/>
          <w:b/>
          <w:bCs/>
          <w:kern w:val="0"/>
          <w:sz w:val="24"/>
          <w:u w:val="double"/>
        </w:rPr>
        <w:t>日</w:t>
      </w:r>
      <w:r>
        <w:rPr>
          <w:rFonts w:hint="eastAsia" w:ascii="宋体" w:hAnsi="宋体" w:cs="宋体"/>
          <w:b/>
          <w:bCs/>
          <w:kern w:val="0"/>
          <w:sz w:val="24"/>
          <w:u w:val="double"/>
          <w:lang w:val="en-US" w:eastAsia="zh-CN"/>
        </w:rPr>
        <w:t>09</w:t>
      </w:r>
      <w:bookmarkStart w:id="0" w:name="_GoBack"/>
      <w:bookmarkEnd w:id="0"/>
      <w:r>
        <w:rPr>
          <w:rFonts w:hint="eastAsia" w:ascii="宋体" w:hAnsi="宋体" w:eastAsia="宋体" w:cs="宋体"/>
          <w:b/>
          <w:bCs/>
          <w:kern w:val="0"/>
          <w:sz w:val="24"/>
          <w:u w:val="double"/>
        </w:rPr>
        <w:t>：</w:t>
      </w:r>
      <w:r>
        <w:rPr>
          <w:rFonts w:hint="eastAsia" w:ascii="宋体" w:hAnsi="宋体" w:cs="宋体"/>
          <w:b/>
          <w:bCs/>
          <w:kern w:val="0"/>
          <w:sz w:val="24"/>
          <w:u w:val="double"/>
          <w:lang w:val="en-US" w:eastAsia="zh-CN"/>
        </w:rPr>
        <w:t>3</w:t>
      </w:r>
      <w:r>
        <w:rPr>
          <w:rFonts w:hint="eastAsia" w:ascii="宋体" w:hAnsi="宋体" w:eastAsia="宋体" w:cs="宋体"/>
          <w:b/>
          <w:bCs/>
          <w:kern w:val="0"/>
          <w:sz w:val="24"/>
          <w:u w:val="double"/>
        </w:rPr>
        <w:t>0（北京时间）</w:t>
      </w:r>
      <w:r>
        <w:rPr>
          <w:rFonts w:hint="eastAsia" w:ascii="宋体" w:hAnsi="宋体" w:eastAsia="宋体" w:cs="宋体"/>
          <w:kern w:val="0"/>
          <w:sz w:val="24"/>
        </w:rPr>
        <w:t>之前将密封的首次响应文件送达</w:t>
      </w:r>
      <w:r>
        <w:rPr>
          <w:rFonts w:hint="eastAsia" w:ascii="宋体" w:hAnsi="宋体" w:eastAsia="宋体" w:cs="宋体"/>
          <w:b/>
          <w:bCs/>
          <w:kern w:val="0"/>
          <w:sz w:val="24"/>
          <w:u w:val="double"/>
          <w:lang w:eastAsia="zh-CN"/>
        </w:rPr>
        <w:t>福建省厦门市湖里区嘉禾路468-3号SM国际中心C栋806</w:t>
      </w:r>
      <w:r>
        <w:rPr>
          <w:rFonts w:hint="eastAsia" w:ascii="宋体" w:hAnsi="宋体" w:eastAsia="宋体" w:cs="宋体"/>
          <w:b/>
          <w:bCs/>
          <w:kern w:val="0"/>
          <w:sz w:val="24"/>
          <w:u w:val="double"/>
        </w:rPr>
        <w:t>，福建联审工程管理咨询有限公司会议室</w:t>
      </w:r>
      <w:r>
        <w:rPr>
          <w:rFonts w:hint="eastAsia" w:ascii="宋体" w:hAnsi="宋体" w:eastAsia="宋体" w:cs="宋体"/>
          <w:kern w:val="0"/>
          <w:sz w:val="24"/>
        </w:rPr>
        <w:t>，逾期送达的或不符合规定的响应文件将被拒绝接收。</w:t>
      </w:r>
    </w:p>
    <w:p w14:paraId="18F74E9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8、</w:t>
      </w:r>
      <w:r>
        <w:rPr>
          <w:rFonts w:hint="eastAsia" w:ascii="宋体" w:hAnsi="宋体" w:eastAsia="宋体" w:cs="宋体"/>
          <w:sz w:val="24"/>
        </w:rPr>
        <w:t>谈判供应商对本次谈判活动事项如有疑问的，请在提交响应文件截止时间3日之前，以书面形式与采购代理机构联系。</w:t>
      </w:r>
    </w:p>
    <w:p w14:paraId="73F872B1">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9、</w:t>
      </w:r>
      <w:r>
        <w:rPr>
          <w:rFonts w:hint="eastAsia" w:ascii="宋体" w:hAnsi="宋体" w:eastAsia="宋体" w:cs="宋体"/>
          <w:sz w:val="24"/>
        </w:rPr>
        <w:t>以上信息如有变更，</w:t>
      </w:r>
      <w:r>
        <w:rPr>
          <w:rFonts w:hint="eastAsia" w:ascii="宋体" w:hAnsi="宋体" w:eastAsia="宋体" w:cs="宋体"/>
          <w:sz w:val="24"/>
          <w:u w:val="single"/>
        </w:rPr>
        <w:t>福建联审工程管理咨询有限公司（采购代理机构）</w:t>
      </w:r>
      <w:r>
        <w:rPr>
          <w:rFonts w:hint="eastAsia" w:ascii="宋体" w:hAnsi="宋体" w:eastAsia="宋体" w:cs="宋体"/>
          <w:sz w:val="24"/>
        </w:rPr>
        <w:t>将通过</w:t>
      </w:r>
      <w:r>
        <w:rPr>
          <w:rFonts w:hint="eastAsia" w:ascii="宋体" w:hAnsi="宋体" w:eastAsia="宋体" w:cs="宋体"/>
          <w:sz w:val="24"/>
          <w:u w:val="single"/>
        </w:rPr>
        <w:t>中国招标投标公共服务平台（http://www.cebpubservice.com/）</w:t>
      </w:r>
      <w:r>
        <w:rPr>
          <w:rFonts w:hint="eastAsia" w:ascii="宋体" w:hAnsi="宋体" w:eastAsia="宋体" w:cs="宋体"/>
          <w:bCs/>
          <w:color w:val="000000"/>
          <w:sz w:val="24"/>
        </w:rPr>
        <w:t>等信息发布媒体通知,</w:t>
      </w:r>
      <w:r>
        <w:rPr>
          <w:rFonts w:hint="eastAsia" w:ascii="宋体" w:hAnsi="宋体" w:eastAsia="宋体" w:cs="宋体"/>
          <w:sz w:val="24"/>
        </w:rPr>
        <w:t>请谈判供应商关注。</w:t>
      </w:r>
    </w:p>
    <w:p w14:paraId="1C3617B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10、采购人：厦门海洋职业技术学院</w:t>
      </w:r>
    </w:p>
    <w:p w14:paraId="5B89E6A1">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sz w:val="24"/>
        </w:rPr>
        <w:t>翔安区洪钟路4566号</w:t>
      </w:r>
    </w:p>
    <w:p w14:paraId="08B571A8">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联系人：</w:t>
      </w:r>
      <w:r>
        <w:rPr>
          <w:rFonts w:hint="eastAsia" w:ascii="宋体" w:hAnsi="宋体" w:eastAsia="宋体" w:cs="宋体"/>
          <w:kern w:val="0"/>
          <w:sz w:val="24"/>
          <w:lang w:val="en-US" w:eastAsia="zh-CN"/>
        </w:rPr>
        <w:t xml:space="preserve"> </w:t>
      </w:r>
    </w:p>
    <w:p w14:paraId="7652732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kern w:val="0"/>
          <w:sz w:val="24"/>
        </w:rPr>
        <w:t>联系方式：</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w:t>
      </w:r>
    </w:p>
    <w:p w14:paraId="6FD85B7B">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11、代理机构：福建联审工程管理咨询有限公司</w:t>
      </w:r>
    </w:p>
    <w:p w14:paraId="16AC5E3F">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地址：</w:t>
      </w:r>
      <w:r>
        <w:rPr>
          <w:rFonts w:hint="eastAsia" w:ascii="宋体" w:hAnsi="宋体" w:eastAsia="宋体" w:cs="宋体"/>
          <w:kern w:val="0"/>
          <w:sz w:val="24"/>
          <w:lang w:eastAsia="zh-CN"/>
        </w:rPr>
        <w:t>福建省厦门市湖里区嘉禾路468-3号SM国际中心C栋806</w:t>
      </w:r>
    </w:p>
    <w:p w14:paraId="0613313B">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邮编：361012                 电话：0592-6215259               </w:t>
      </w:r>
    </w:p>
    <w:p w14:paraId="1946B3E9">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邮件：</w:t>
      </w:r>
      <w:r>
        <w:rPr>
          <w:rFonts w:hint="eastAsia" w:ascii="宋体" w:hAnsi="宋体" w:eastAsia="宋体" w:cs="宋体"/>
        </w:rPr>
        <w:fldChar w:fldCharType="begin"/>
      </w:r>
      <w:r>
        <w:rPr>
          <w:rFonts w:hint="eastAsia" w:ascii="宋体" w:hAnsi="宋体" w:eastAsia="宋体" w:cs="宋体"/>
        </w:rPr>
        <w:instrText xml:space="preserve"> HYPERLINK "mailto:fjlsxm@126.com" </w:instrText>
      </w:r>
      <w:r>
        <w:rPr>
          <w:rFonts w:hint="eastAsia" w:ascii="宋体" w:hAnsi="宋体" w:eastAsia="宋体" w:cs="宋体"/>
        </w:rPr>
        <w:fldChar w:fldCharType="separate"/>
      </w:r>
      <w:r>
        <w:rPr>
          <w:rFonts w:hint="eastAsia" w:ascii="宋体" w:hAnsi="宋体" w:eastAsia="宋体" w:cs="宋体"/>
          <w:kern w:val="0"/>
          <w:sz w:val="24"/>
        </w:rPr>
        <w:t>fjlsxm@126.com</w:t>
      </w:r>
      <w:r>
        <w:rPr>
          <w:rFonts w:hint="eastAsia" w:ascii="宋体" w:hAnsi="宋体" w:eastAsia="宋体" w:cs="宋体"/>
          <w:kern w:val="0"/>
          <w:sz w:val="24"/>
        </w:rPr>
        <w:fldChar w:fldCharType="end"/>
      </w:r>
      <w:r>
        <w:rPr>
          <w:rFonts w:hint="eastAsia" w:ascii="宋体" w:hAnsi="宋体" w:eastAsia="宋体" w:cs="宋体"/>
          <w:kern w:val="0"/>
          <w:sz w:val="24"/>
        </w:rPr>
        <w:t xml:space="preserve">         联系人：张煌辉、</w:t>
      </w:r>
      <w:r>
        <w:rPr>
          <w:rFonts w:hint="eastAsia" w:ascii="宋体" w:hAnsi="宋体" w:eastAsia="宋体" w:cs="宋体"/>
          <w:kern w:val="0"/>
          <w:sz w:val="24"/>
          <w:lang w:val="en-US" w:eastAsia="zh-CN"/>
        </w:rPr>
        <w:t>项炽江</w:t>
      </w:r>
      <w:r>
        <w:rPr>
          <w:rFonts w:hint="eastAsia" w:ascii="宋体" w:hAnsi="宋体" w:eastAsia="宋体" w:cs="宋体"/>
          <w:kern w:val="0"/>
          <w:sz w:val="24"/>
        </w:rPr>
        <w:t xml:space="preserve"> </w:t>
      </w:r>
    </w:p>
    <w:p w14:paraId="7C84E30F">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12、</w:t>
      </w:r>
      <w:r>
        <w:rPr>
          <w:rFonts w:hint="eastAsia" w:ascii="宋体" w:hAnsi="宋体" w:eastAsia="宋体" w:cs="宋体"/>
          <w:b/>
          <w:sz w:val="24"/>
        </w:rPr>
        <w:t>招标文件费用账户</w:t>
      </w:r>
    </w:p>
    <w:p w14:paraId="33545C67">
      <w:pPr>
        <w:spacing w:line="420" w:lineRule="exact"/>
        <w:ind w:firstLine="482" w:firstLineChars="200"/>
        <w:rPr>
          <w:rFonts w:hint="eastAsia" w:ascii="宋体" w:hAnsi="宋体" w:eastAsia="宋体" w:cs="宋体"/>
          <w:b/>
          <w:sz w:val="24"/>
        </w:rPr>
      </w:pPr>
      <w:r>
        <w:rPr>
          <w:rFonts w:hint="eastAsia" w:ascii="宋体" w:hAnsi="宋体" w:eastAsia="宋体" w:cs="宋体"/>
          <w:b/>
          <w:sz w:val="24"/>
        </w:rPr>
        <w:t>12.1招标文件费用账户</w:t>
      </w:r>
    </w:p>
    <w:p w14:paraId="0E499776">
      <w:pPr>
        <w:spacing w:line="420" w:lineRule="exact"/>
        <w:ind w:firstLine="480" w:firstLineChars="200"/>
        <w:rPr>
          <w:rFonts w:hint="eastAsia" w:ascii="宋体" w:hAnsi="宋体" w:eastAsia="宋体" w:cs="宋体"/>
          <w:sz w:val="24"/>
        </w:rPr>
      </w:pPr>
      <w:r>
        <w:rPr>
          <w:rFonts w:hint="eastAsia" w:ascii="宋体" w:hAnsi="宋体" w:eastAsia="宋体" w:cs="宋体"/>
          <w:sz w:val="24"/>
        </w:rPr>
        <w:t>开户名：</w:t>
      </w:r>
      <w:r>
        <w:rPr>
          <w:rFonts w:hint="eastAsia" w:ascii="宋体" w:hAnsi="宋体" w:eastAsia="宋体" w:cs="宋体"/>
          <w:spacing w:val="-3"/>
          <w:sz w:val="24"/>
          <w:u w:val="single"/>
        </w:rPr>
        <w:t>福建联审工程管理咨询有限公司厦门分公司</w:t>
      </w:r>
      <w:r>
        <w:rPr>
          <w:rFonts w:hint="eastAsia" w:ascii="宋体" w:hAnsi="宋体" w:eastAsia="宋体" w:cs="宋体"/>
          <w:sz w:val="24"/>
        </w:rPr>
        <w:t xml:space="preserve">  </w:t>
      </w:r>
    </w:p>
    <w:p w14:paraId="2AA18044">
      <w:pPr>
        <w:spacing w:line="420" w:lineRule="exact"/>
        <w:ind w:firstLine="480" w:firstLineChars="200"/>
        <w:rPr>
          <w:rFonts w:hint="eastAsia" w:ascii="宋体" w:hAnsi="宋体" w:eastAsia="宋体" w:cs="宋体"/>
          <w:sz w:val="24"/>
        </w:rPr>
      </w:pPr>
      <w:r>
        <w:rPr>
          <w:rFonts w:hint="eastAsia" w:ascii="宋体" w:hAnsi="宋体" w:eastAsia="宋体" w:cs="宋体"/>
          <w:sz w:val="24"/>
        </w:rPr>
        <w:t>开户行：</w:t>
      </w:r>
      <w:r>
        <w:rPr>
          <w:rFonts w:hint="eastAsia" w:ascii="宋体" w:hAnsi="宋体" w:eastAsia="宋体" w:cs="宋体"/>
          <w:spacing w:val="-3"/>
          <w:sz w:val="24"/>
          <w:u w:val="single"/>
        </w:rPr>
        <w:t>中国建设银行股份有限公司厦门长青路支行</w:t>
      </w:r>
      <w:r>
        <w:rPr>
          <w:rFonts w:hint="eastAsia" w:ascii="宋体" w:hAnsi="宋体" w:eastAsia="宋体" w:cs="宋体"/>
          <w:sz w:val="24"/>
        </w:rPr>
        <w:t xml:space="preserve">  </w:t>
      </w:r>
    </w:p>
    <w:p w14:paraId="6A7C73A2">
      <w:pPr>
        <w:spacing w:line="420" w:lineRule="exact"/>
        <w:ind w:firstLine="480" w:firstLineChars="200"/>
        <w:rPr>
          <w:rFonts w:hint="eastAsia" w:ascii="宋体" w:hAnsi="宋体" w:eastAsia="宋体" w:cs="宋体"/>
          <w:sz w:val="24"/>
        </w:rPr>
      </w:pPr>
      <w:r>
        <w:rPr>
          <w:rFonts w:hint="eastAsia" w:ascii="宋体" w:hAnsi="宋体" w:eastAsia="宋体" w:cs="宋体"/>
          <w:sz w:val="24"/>
        </w:rPr>
        <w:t>账  号：</w:t>
      </w:r>
      <w:r>
        <w:rPr>
          <w:rFonts w:hint="eastAsia" w:ascii="宋体" w:hAnsi="宋体" w:eastAsia="宋体" w:cs="宋体"/>
          <w:sz w:val="24"/>
          <w:u w:val="single"/>
        </w:rPr>
        <w:t>3510 1513 0010 5250 6069</w:t>
      </w:r>
    </w:p>
    <w:p w14:paraId="715D6BEB">
      <w:pPr>
        <w:spacing w:line="360" w:lineRule="auto"/>
        <w:ind w:firstLine="482" w:firstLineChars="200"/>
        <w:rPr>
          <w:rFonts w:hint="eastAsia" w:ascii="宋体" w:hAnsi="宋体" w:eastAsia="宋体" w:cs="宋体"/>
          <w:b/>
          <w:sz w:val="24"/>
        </w:rPr>
      </w:pPr>
      <w:r>
        <w:rPr>
          <w:rFonts w:hint="eastAsia" w:ascii="宋体" w:hAnsi="宋体" w:eastAsia="宋体" w:cs="宋体"/>
          <w:b/>
          <w:sz w:val="24"/>
          <w:lang w:val="en-US" w:eastAsia="zh-CN"/>
        </w:rPr>
        <w:t>13</w:t>
      </w:r>
      <w:r>
        <w:rPr>
          <w:rFonts w:hint="eastAsia" w:ascii="宋体" w:hAnsi="宋体" w:eastAsia="宋体" w:cs="宋体"/>
          <w:b/>
          <w:sz w:val="24"/>
        </w:rPr>
        <w:t>、</w:t>
      </w:r>
      <w:r>
        <w:rPr>
          <w:rFonts w:hint="eastAsia" w:ascii="宋体" w:hAnsi="宋体" w:eastAsia="宋体" w:cs="宋体"/>
          <w:b/>
          <w:spacing w:val="-2"/>
          <w:sz w:val="24"/>
        </w:rPr>
        <w:t>参加本项目投标的投标人须购买招标文件。招标文件可通过到招标代理机构或通过电子邮件购买。通过电子邮件购买的，须将文件费（招标文件费用）通过电汇或转账形式汇入招标代理机构银行账户，同时将电汇或转账的银行回单及填写完整清晰的下述“供应商信息表”盖公章后扫描，并以电子邮件形式发至fjlsxm@126.com。招标代理机构收到此邮件后即将招标文件以电子邮件形式发给投标人。未购买招标文件的不受理其投标。</w:t>
      </w:r>
    </w:p>
    <w:tbl>
      <w:tblPr>
        <w:tblStyle w:val="8"/>
        <w:tblW w:w="8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410"/>
        <w:gridCol w:w="1442"/>
        <w:gridCol w:w="2727"/>
      </w:tblGrid>
      <w:tr w14:paraId="152A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847" w:type="dxa"/>
            <w:gridSpan w:val="4"/>
            <w:tcBorders>
              <w:top w:val="single" w:color="auto" w:sz="12" w:space="0"/>
              <w:left w:val="single" w:color="auto" w:sz="12" w:space="0"/>
              <w:bottom w:val="single" w:color="auto" w:sz="4" w:space="0"/>
              <w:right w:val="single" w:color="auto" w:sz="12" w:space="0"/>
            </w:tcBorders>
            <w:vAlign w:val="center"/>
          </w:tcPr>
          <w:p w14:paraId="2801FBFA">
            <w:pPr>
              <w:spacing w:line="360" w:lineRule="auto"/>
              <w:jc w:val="center"/>
              <w:rPr>
                <w:rFonts w:hint="eastAsia" w:ascii="宋体" w:hAnsi="宋体" w:eastAsia="宋体" w:cs="宋体"/>
                <w:b/>
                <w:spacing w:val="-8"/>
                <w:sz w:val="24"/>
              </w:rPr>
            </w:pPr>
            <w:r>
              <w:rPr>
                <w:rFonts w:hint="eastAsia" w:ascii="宋体" w:hAnsi="宋体" w:eastAsia="宋体" w:cs="宋体"/>
                <w:b/>
                <w:color w:val="000000"/>
                <w:sz w:val="24"/>
                <w:u w:val="single"/>
              </w:rPr>
              <w:t>厦门海洋职业技术学院翔安校区食堂一二层用餐区天棚修缮</w:t>
            </w:r>
          </w:p>
          <w:p w14:paraId="6F2C64FB">
            <w:pPr>
              <w:spacing w:line="360" w:lineRule="auto"/>
              <w:jc w:val="center"/>
              <w:rPr>
                <w:rFonts w:hint="eastAsia" w:ascii="宋体" w:hAnsi="宋体" w:eastAsia="宋体" w:cs="宋体"/>
                <w:b/>
                <w:sz w:val="24"/>
              </w:rPr>
            </w:pPr>
            <w:r>
              <w:rPr>
                <w:rFonts w:hint="eastAsia" w:ascii="宋体" w:hAnsi="宋体" w:eastAsia="宋体" w:cs="宋体"/>
                <w:b/>
                <w:bCs/>
                <w:spacing w:val="-4"/>
                <w:sz w:val="24"/>
                <w:u w:val="single"/>
              </w:rPr>
              <w:t>（</w:t>
            </w:r>
            <w:r>
              <w:rPr>
                <w:rFonts w:hint="eastAsia" w:ascii="宋体" w:hAnsi="宋体" w:eastAsia="宋体" w:cs="宋体"/>
                <w:b/>
                <w:spacing w:val="-4"/>
                <w:sz w:val="24"/>
                <w:u w:val="single"/>
              </w:rPr>
              <w:t>招标编号：闽联审厦招[2025]0</w:t>
            </w:r>
            <w:r>
              <w:rPr>
                <w:rFonts w:hint="eastAsia" w:ascii="宋体" w:hAnsi="宋体" w:eastAsia="宋体" w:cs="宋体"/>
                <w:b/>
                <w:spacing w:val="-4"/>
                <w:sz w:val="24"/>
                <w:u w:val="single"/>
                <w:lang w:val="en-US" w:eastAsia="zh-CN"/>
              </w:rPr>
              <w:t>19</w:t>
            </w:r>
            <w:r>
              <w:rPr>
                <w:rFonts w:hint="eastAsia" w:ascii="宋体" w:hAnsi="宋体" w:eastAsia="宋体" w:cs="宋体"/>
                <w:b/>
                <w:spacing w:val="-4"/>
                <w:sz w:val="24"/>
                <w:u w:val="single"/>
              </w:rPr>
              <w:t>号）</w:t>
            </w:r>
            <w:r>
              <w:rPr>
                <w:rFonts w:hint="eastAsia" w:ascii="宋体" w:hAnsi="宋体" w:eastAsia="宋体" w:cs="宋体"/>
                <w:b/>
                <w:sz w:val="24"/>
              </w:rPr>
              <w:t>供应商信息表（附上银行回单）</w:t>
            </w:r>
          </w:p>
        </w:tc>
      </w:tr>
      <w:tr w14:paraId="1186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68" w:type="dxa"/>
            <w:tcBorders>
              <w:left w:val="single" w:color="auto" w:sz="12" w:space="0"/>
            </w:tcBorders>
            <w:vAlign w:val="center"/>
          </w:tcPr>
          <w:p w14:paraId="2C304CA4">
            <w:pPr>
              <w:spacing w:line="360" w:lineRule="auto"/>
              <w:jc w:val="center"/>
              <w:rPr>
                <w:rFonts w:hint="eastAsia" w:ascii="宋体" w:hAnsi="宋体" w:eastAsia="宋体" w:cs="宋体"/>
                <w:sz w:val="24"/>
              </w:rPr>
            </w:pPr>
            <w:r>
              <w:rPr>
                <w:rFonts w:hint="eastAsia" w:ascii="宋体" w:hAnsi="宋体" w:eastAsia="宋体" w:cs="宋体"/>
                <w:sz w:val="24"/>
              </w:rPr>
              <w:t>投标人单位</w:t>
            </w:r>
          </w:p>
        </w:tc>
        <w:tc>
          <w:tcPr>
            <w:tcW w:w="6579" w:type="dxa"/>
            <w:gridSpan w:val="3"/>
            <w:tcBorders>
              <w:right w:val="single" w:color="auto" w:sz="12" w:space="0"/>
            </w:tcBorders>
            <w:vAlign w:val="center"/>
          </w:tcPr>
          <w:p w14:paraId="53F8F975">
            <w:pPr>
              <w:spacing w:line="360" w:lineRule="auto"/>
              <w:jc w:val="right"/>
              <w:rPr>
                <w:rFonts w:hint="eastAsia" w:ascii="宋体" w:hAnsi="宋体" w:eastAsia="宋体" w:cs="宋体"/>
                <w:sz w:val="24"/>
              </w:rPr>
            </w:pPr>
            <w:r>
              <w:rPr>
                <w:rFonts w:hint="eastAsia" w:ascii="宋体" w:hAnsi="宋体" w:eastAsia="宋体" w:cs="宋体"/>
                <w:sz w:val="24"/>
              </w:rPr>
              <w:t>（全称加盖公章）</w:t>
            </w:r>
          </w:p>
        </w:tc>
      </w:tr>
      <w:tr w14:paraId="487B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268" w:type="dxa"/>
            <w:tcBorders>
              <w:left w:val="single" w:color="auto" w:sz="12" w:space="0"/>
            </w:tcBorders>
            <w:vAlign w:val="center"/>
          </w:tcPr>
          <w:p w14:paraId="7D8FD62C">
            <w:pPr>
              <w:spacing w:line="360" w:lineRule="auto"/>
              <w:jc w:val="center"/>
              <w:rPr>
                <w:rFonts w:hint="eastAsia" w:ascii="宋体" w:hAnsi="宋体" w:eastAsia="宋体" w:cs="宋体"/>
                <w:sz w:val="24"/>
              </w:rPr>
            </w:pPr>
            <w:r>
              <w:rPr>
                <w:rFonts w:hint="eastAsia" w:ascii="宋体" w:hAnsi="宋体" w:eastAsia="宋体" w:cs="宋体"/>
                <w:sz w:val="24"/>
              </w:rPr>
              <w:t>投标人单位地址</w:t>
            </w:r>
          </w:p>
        </w:tc>
        <w:tc>
          <w:tcPr>
            <w:tcW w:w="6579" w:type="dxa"/>
            <w:gridSpan w:val="3"/>
            <w:tcBorders>
              <w:right w:val="single" w:color="auto" w:sz="12" w:space="0"/>
            </w:tcBorders>
            <w:vAlign w:val="center"/>
          </w:tcPr>
          <w:p w14:paraId="12184781">
            <w:pPr>
              <w:spacing w:line="360" w:lineRule="auto"/>
              <w:jc w:val="right"/>
              <w:rPr>
                <w:rFonts w:hint="eastAsia" w:ascii="宋体" w:hAnsi="宋体" w:eastAsia="宋体" w:cs="宋体"/>
                <w:sz w:val="24"/>
              </w:rPr>
            </w:pPr>
          </w:p>
        </w:tc>
      </w:tr>
      <w:tr w14:paraId="49AD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68" w:type="dxa"/>
            <w:tcBorders>
              <w:left w:val="single" w:color="auto" w:sz="12" w:space="0"/>
              <w:right w:val="single" w:color="auto" w:sz="4" w:space="0"/>
            </w:tcBorders>
            <w:vAlign w:val="center"/>
          </w:tcPr>
          <w:p w14:paraId="527B75DC">
            <w:pPr>
              <w:spacing w:line="360" w:lineRule="auto"/>
              <w:jc w:val="center"/>
              <w:rPr>
                <w:rFonts w:hint="eastAsia" w:ascii="宋体" w:hAnsi="宋体" w:eastAsia="宋体" w:cs="宋体"/>
                <w:sz w:val="24"/>
              </w:rPr>
            </w:pPr>
            <w:r>
              <w:rPr>
                <w:rFonts w:hint="eastAsia" w:ascii="宋体" w:hAnsi="宋体" w:eastAsia="宋体" w:cs="宋体"/>
                <w:sz w:val="24"/>
              </w:rPr>
              <w:t>联系人</w:t>
            </w:r>
          </w:p>
        </w:tc>
        <w:tc>
          <w:tcPr>
            <w:tcW w:w="2410" w:type="dxa"/>
            <w:tcBorders>
              <w:left w:val="single" w:color="auto" w:sz="4" w:space="0"/>
            </w:tcBorders>
            <w:vAlign w:val="center"/>
          </w:tcPr>
          <w:p w14:paraId="65656CAF">
            <w:pPr>
              <w:spacing w:line="360" w:lineRule="auto"/>
              <w:rPr>
                <w:rFonts w:hint="eastAsia" w:ascii="宋体" w:hAnsi="宋体" w:eastAsia="宋体" w:cs="宋体"/>
                <w:sz w:val="24"/>
              </w:rPr>
            </w:pPr>
          </w:p>
        </w:tc>
        <w:tc>
          <w:tcPr>
            <w:tcW w:w="1442" w:type="dxa"/>
            <w:vAlign w:val="center"/>
          </w:tcPr>
          <w:p w14:paraId="7F0767C3">
            <w:pPr>
              <w:spacing w:line="360" w:lineRule="auto"/>
              <w:jc w:val="center"/>
              <w:rPr>
                <w:rFonts w:hint="eastAsia" w:ascii="宋体" w:hAnsi="宋体" w:eastAsia="宋体" w:cs="宋体"/>
                <w:sz w:val="24"/>
              </w:rPr>
            </w:pPr>
            <w:r>
              <w:rPr>
                <w:rFonts w:hint="eastAsia" w:ascii="宋体" w:hAnsi="宋体" w:eastAsia="宋体" w:cs="宋体"/>
                <w:sz w:val="24"/>
              </w:rPr>
              <w:t>固定电话</w:t>
            </w:r>
          </w:p>
        </w:tc>
        <w:tc>
          <w:tcPr>
            <w:tcW w:w="2727" w:type="dxa"/>
            <w:tcBorders>
              <w:right w:val="single" w:color="auto" w:sz="12" w:space="0"/>
            </w:tcBorders>
            <w:vAlign w:val="center"/>
          </w:tcPr>
          <w:p w14:paraId="5A249D26">
            <w:pPr>
              <w:spacing w:line="360" w:lineRule="auto"/>
              <w:rPr>
                <w:rFonts w:hint="eastAsia" w:ascii="宋体" w:hAnsi="宋体" w:eastAsia="宋体" w:cs="宋体"/>
                <w:sz w:val="24"/>
              </w:rPr>
            </w:pPr>
          </w:p>
        </w:tc>
      </w:tr>
      <w:tr w14:paraId="4958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268" w:type="dxa"/>
            <w:tcBorders>
              <w:left w:val="single" w:color="auto" w:sz="12" w:space="0"/>
              <w:right w:val="single" w:color="auto" w:sz="4" w:space="0"/>
            </w:tcBorders>
            <w:vAlign w:val="center"/>
          </w:tcPr>
          <w:p w14:paraId="239F4A71">
            <w:pPr>
              <w:spacing w:line="360" w:lineRule="auto"/>
              <w:jc w:val="center"/>
              <w:rPr>
                <w:rFonts w:hint="eastAsia" w:ascii="宋体" w:hAnsi="宋体" w:eastAsia="宋体" w:cs="宋体"/>
                <w:sz w:val="24"/>
              </w:rPr>
            </w:pPr>
            <w:r>
              <w:rPr>
                <w:rFonts w:hint="eastAsia" w:ascii="宋体" w:hAnsi="宋体" w:eastAsia="宋体" w:cs="宋体"/>
                <w:sz w:val="24"/>
              </w:rPr>
              <w:t>移动电话</w:t>
            </w:r>
          </w:p>
        </w:tc>
        <w:tc>
          <w:tcPr>
            <w:tcW w:w="2410" w:type="dxa"/>
            <w:tcBorders>
              <w:left w:val="single" w:color="auto" w:sz="4" w:space="0"/>
            </w:tcBorders>
            <w:vAlign w:val="center"/>
          </w:tcPr>
          <w:p w14:paraId="30F79F0D">
            <w:pPr>
              <w:spacing w:line="360" w:lineRule="auto"/>
              <w:rPr>
                <w:rFonts w:hint="eastAsia" w:ascii="宋体" w:hAnsi="宋体" w:eastAsia="宋体" w:cs="宋体"/>
                <w:sz w:val="24"/>
              </w:rPr>
            </w:pPr>
          </w:p>
        </w:tc>
        <w:tc>
          <w:tcPr>
            <w:tcW w:w="1442" w:type="dxa"/>
            <w:vAlign w:val="center"/>
          </w:tcPr>
          <w:p w14:paraId="269D92EF">
            <w:pPr>
              <w:spacing w:line="360" w:lineRule="auto"/>
              <w:jc w:val="center"/>
              <w:rPr>
                <w:rFonts w:hint="eastAsia" w:ascii="宋体" w:hAnsi="宋体" w:eastAsia="宋体" w:cs="宋体"/>
                <w:sz w:val="24"/>
              </w:rPr>
            </w:pPr>
            <w:r>
              <w:rPr>
                <w:rFonts w:hint="eastAsia" w:ascii="宋体" w:hAnsi="宋体" w:eastAsia="宋体" w:cs="宋体"/>
                <w:sz w:val="24"/>
              </w:rPr>
              <w:t>传    真</w:t>
            </w:r>
          </w:p>
        </w:tc>
        <w:tc>
          <w:tcPr>
            <w:tcW w:w="2727" w:type="dxa"/>
            <w:tcBorders>
              <w:right w:val="single" w:color="auto" w:sz="12" w:space="0"/>
            </w:tcBorders>
            <w:vAlign w:val="center"/>
          </w:tcPr>
          <w:p w14:paraId="061AB32B">
            <w:pPr>
              <w:spacing w:line="360" w:lineRule="auto"/>
              <w:rPr>
                <w:rFonts w:hint="eastAsia" w:ascii="宋体" w:hAnsi="宋体" w:eastAsia="宋体" w:cs="宋体"/>
                <w:sz w:val="24"/>
              </w:rPr>
            </w:pPr>
          </w:p>
        </w:tc>
      </w:tr>
      <w:tr w14:paraId="2DEE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2268" w:type="dxa"/>
            <w:tcBorders>
              <w:left w:val="single" w:color="auto" w:sz="12" w:space="0"/>
              <w:bottom w:val="single" w:color="auto" w:sz="12" w:space="0"/>
              <w:right w:val="single" w:color="auto" w:sz="4" w:space="0"/>
            </w:tcBorders>
            <w:vAlign w:val="center"/>
          </w:tcPr>
          <w:p w14:paraId="5783A289">
            <w:pPr>
              <w:spacing w:line="360" w:lineRule="auto"/>
              <w:jc w:val="center"/>
              <w:rPr>
                <w:rFonts w:hint="eastAsia" w:ascii="宋体" w:hAnsi="宋体" w:eastAsia="宋体" w:cs="宋体"/>
                <w:sz w:val="24"/>
              </w:rPr>
            </w:pPr>
            <w:r>
              <w:rPr>
                <w:rFonts w:hint="eastAsia" w:ascii="宋体" w:hAnsi="宋体" w:eastAsia="宋体" w:cs="宋体"/>
                <w:sz w:val="24"/>
              </w:rPr>
              <w:t>电子邮箱</w:t>
            </w:r>
          </w:p>
        </w:tc>
        <w:tc>
          <w:tcPr>
            <w:tcW w:w="2410" w:type="dxa"/>
            <w:tcBorders>
              <w:left w:val="single" w:color="auto" w:sz="4" w:space="0"/>
              <w:bottom w:val="single" w:color="auto" w:sz="12" w:space="0"/>
            </w:tcBorders>
            <w:vAlign w:val="center"/>
          </w:tcPr>
          <w:p w14:paraId="6FFF4EDD">
            <w:pPr>
              <w:spacing w:line="360" w:lineRule="auto"/>
              <w:rPr>
                <w:rFonts w:hint="eastAsia" w:ascii="宋体" w:hAnsi="宋体" w:eastAsia="宋体" w:cs="宋体"/>
                <w:sz w:val="24"/>
              </w:rPr>
            </w:pPr>
          </w:p>
        </w:tc>
        <w:tc>
          <w:tcPr>
            <w:tcW w:w="1442" w:type="dxa"/>
            <w:tcBorders>
              <w:bottom w:val="single" w:color="auto" w:sz="12" w:space="0"/>
            </w:tcBorders>
            <w:vAlign w:val="center"/>
          </w:tcPr>
          <w:p w14:paraId="3081601C">
            <w:pPr>
              <w:spacing w:line="360" w:lineRule="auto"/>
              <w:jc w:val="center"/>
              <w:rPr>
                <w:rFonts w:hint="eastAsia" w:ascii="宋体" w:hAnsi="宋体" w:eastAsia="宋体" w:cs="宋体"/>
                <w:sz w:val="24"/>
              </w:rPr>
            </w:pPr>
            <w:r>
              <w:rPr>
                <w:rFonts w:hint="eastAsia" w:ascii="宋体" w:hAnsi="宋体" w:eastAsia="宋体" w:cs="宋体"/>
                <w:sz w:val="24"/>
              </w:rPr>
              <w:t>纳税人代码</w:t>
            </w:r>
          </w:p>
        </w:tc>
        <w:tc>
          <w:tcPr>
            <w:tcW w:w="2727" w:type="dxa"/>
            <w:tcBorders>
              <w:bottom w:val="single" w:color="auto" w:sz="12" w:space="0"/>
              <w:right w:val="single" w:color="auto" w:sz="12" w:space="0"/>
            </w:tcBorders>
            <w:vAlign w:val="center"/>
          </w:tcPr>
          <w:p w14:paraId="6E50D455">
            <w:pPr>
              <w:spacing w:line="360" w:lineRule="auto"/>
              <w:rPr>
                <w:rFonts w:hint="eastAsia" w:ascii="宋体" w:hAnsi="宋体" w:eastAsia="宋体" w:cs="宋体"/>
                <w:sz w:val="24"/>
              </w:rPr>
            </w:pPr>
          </w:p>
        </w:tc>
      </w:tr>
    </w:tbl>
    <w:p w14:paraId="7B529928">
      <w:pPr>
        <w:widowControl/>
        <w:spacing w:line="360" w:lineRule="auto"/>
        <w:ind w:firstLine="480" w:firstLineChars="200"/>
        <w:jc w:val="left"/>
        <w:rPr>
          <w:rFonts w:hint="eastAsia" w:ascii="宋体" w:hAnsi="宋体" w:eastAsia="宋体" w:cs="宋体"/>
          <w:sz w:val="24"/>
        </w:rPr>
      </w:pPr>
    </w:p>
    <w:p w14:paraId="43EE8DD9">
      <w:pPr>
        <w:widowControl/>
        <w:spacing w:line="360" w:lineRule="auto"/>
        <w:ind w:firstLine="480" w:firstLineChars="200"/>
        <w:jc w:val="right"/>
        <w:rPr>
          <w:rFonts w:hint="eastAsia" w:ascii="宋体" w:hAnsi="宋体" w:eastAsia="宋体" w:cs="宋体"/>
        </w:rPr>
      </w:pPr>
      <w:r>
        <w:rPr>
          <w:rFonts w:hint="eastAsia" w:ascii="宋体" w:hAnsi="宋体" w:eastAsia="宋体" w:cs="宋体"/>
          <w:sz w:val="24"/>
        </w:rPr>
        <w:t>2025年0</w:t>
      </w:r>
      <w:r>
        <w:rPr>
          <w:rFonts w:hint="eastAsia" w:ascii="宋体" w:hAnsi="宋体" w:eastAsia="宋体" w:cs="宋体"/>
          <w:sz w:val="24"/>
          <w:lang w:val="en-US" w:eastAsia="zh-CN"/>
        </w:rPr>
        <w:t>3</w:t>
      </w:r>
      <w:r>
        <w:rPr>
          <w:rFonts w:hint="eastAsia" w:ascii="宋体" w:hAnsi="宋体" w:eastAsia="宋体" w:cs="宋体"/>
          <w:sz w:val="24"/>
        </w:rPr>
        <w:t>月</w:t>
      </w:r>
      <w:r>
        <w:rPr>
          <w:rFonts w:hint="eastAsia" w:ascii="宋体" w:hAnsi="宋体" w:eastAsia="宋体" w:cs="宋体"/>
          <w:sz w:val="24"/>
          <w:lang w:val="en-US" w:eastAsia="zh-CN"/>
        </w:rPr>
        <w:t>24</w:t>
      </w:r>
      <w:r>
        <w:rPr>
          <w:rFonts w:hint="eastAsia" w:ascii="宋体" w:hAnsi="宋体" w:eastAsia="宋体" w:cs="宋体"/>
          <w:sz w:val="24"/>
        </w:rPr>
        <w:t>日</w:t>
      </w:r>
    </w:p>
    <w:sectPr>
      <w:footerReference r:id="rId5" w:type="default"/>
      <w:pgSz w:w="11906" w:h="16838"/>
      <w:pgMar w:top="1134" w:right="1134" w:bottom="1134" w:left="1417" w:header="851" w:footer="86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D2812">
    <w:pPr>
      <w:pStyle w:val="5"/>
      <w:jc w:val="center"/>
    </w:pPr>
    <w:r>
      <w:rPr>
        <w:rFonts w:hint="eastAsia"/>
      </w:rPr>
      <w:t>第</w:t>
    </w: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r>
      <w:rPr>
        <w:rStyle w:val="11"/>
        <w:rFonts w:hint="eastAsia"/>
      </w:rPr>
      <w:t>页，共</w:t>
    </w:r>
    <w:r>
      <w:rPr>
        <w:rStyle w:val="11"/>
      </w:rPr>
      <w:fldChar w:fldCharType="begin"/>
    </w:r>
    <w:r>
      <w:rPr>
        <w:rStyle w:val="11"/>
      </w:rPr>
      <w:instrText xml:space="preserve">NUMPAGES  \* Arabic  \* MERGEFORMAT</w:instrText>
    </w:r>
    <w:r>
      <w:rPr>
        <w:rStyle w:val="11"/>
      </w:rPr>
      <w:fldChar w:fldCharType="separate"/>
    </w:r>
    <w:r>
      <w:rPr>
        <w:rStyle w:val="11"/>
        <w:lang w:val="zh-CN"/>
      </w:rPr>
      <w:t>3</w:t>
    </w:r>
    <w:r>
      <w:rPr>
        <w:rStyle w:val="11"/>
      </w:rPr>
      <w:fldChar w:fldCharType="end"/>
    </w:r>
    <w:r>
      <w:rPr>
        <w:rStyle w:val="11"/>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A4A72"/>
    <w:multiLevelType w:val="singleLevel"/>
    <w:tmpl w:val="9ADA4A7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14"/>
    <w:rsid w:val="00083300"/>
    <w:rsid w:val="00667114"/>
    <w:rsid w:val="00721BA3"/>
    <w:rsid w:val="00732286"/>
    <w:rsid w:val="008E108A"/>
    <w:rsid w:val="00AA1E71"/>
    <w:rsid w:val="00DA5495"/>
    <w:rsid w:val="00E47055"/>
    <w:rsid w:val="00EE7F7F"/>
    <w:rsid w:val="00FC7CF8"/>
    <w:rsid w:val="03926E31"/>
    <w:rsid w:val="2C1009A5"/>
    <w:rsid w:val="7C6C6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0"/>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line="360" w:lineRule="auto"/>
      <w:ind w:firstLine="480" w:firstLineChars="200"/>
    </w:pPr>
    <w:rPr>
      <w:rFonts w:ascii="宋体" w:hAnsi="宋体" w:cs="Arial"/>
      <w:sz w:val="24"/>
    </w:rPr>
  </w:style>
  <w:style w:type="paragraph" w:styleId="3">
    <w:name w:val="Body Text First Indent"/>
    <w:basedOn w:val="2"/>
    <w:unhideWhenUsed/>
    <w:qFormat/>
    <w:uiPriority w:val="99"/>
    <w:pPr>
      <w:spacing w:after="120"/>
      <w:ind w:firstLine="420" w:firstLineChars="100"/>
    </w:pPr>
  </w:style>
  <w:style w:type="paragraph" w:styleId="4">
    <w:name w:val="Normal Indent"/>
    <w:basedOn w:val="1"/>
    <w:link w:val="14"/>
    <w:qFormat/>
    <w:uiPriority w:val="0"/>
    <w:pPr>
      <w:ind w:firstLine="420"/>
    </w:pPr>
    <w:rPr>
      <w:kern w:val="2"/>
      <w:sz w:val="21"/>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正文缩进 字符"/>
    <w:link w:val="4"/>
    <w:qFormat/>
    <w:uiPriority w:val="0"/>
    <w:rPr>
      <w:rFonts w:ascii="Times New Roman" w:hAnsi="Times New Roman" w:eastAsia="宋体" w:cs="Times New Roman"/>
      <w:szCs w:val="20"/>
    </w:rPr>
  </w:style>
  <w:style w:type="paragraph" w:customStyle="1" w:styleId="15">
    <w:name w:val="正文1"/>
    <w:next w:val="1"/>
    <w:link w:val="18"/>
    <w:qFormat/>
    <w:uiPriority w:val="0"/>
    <w:pPr>
      <w:widowControl w:val="0"/>
      <w:jc w:val="both"/>
    </w:pPr>
    <w:rPr>
      <w:rFonts w:ascii="Arial" w:hAnsi="Arial" w:eastAsia="宋体" w:cs="Arial"/>
      <w:kern w:val="0"/>
      <w:sz w:val="21"/>
      <w:szCs w:val="24"/>
      <w:lang w:val="en-US" w:eastAsia="zh-CN" w:bidi="ar-SA"/>
    </w:rPr>
  </w:style>
  <w:style w:type="character" w:customStyle="1" w:styleId="16">
    <w:name w:val="普通(网站) 字符1"/>
    <w:link w:val="17"/>
    <w:qFormat/>
    <w:uiPriority w:val="0"/>
    <w:rPr>
      <w:rFonts w:ascii="宋体" w:hAnsi="宋体" w:eastAsia="宋体"/>
      <w:sz w:val="24"/>
      <w:szCs w:val="24"/>
    </w:rPr>
  </w:style>
  <w:style w:type="paragraph" w:customStyle="1" w:styleId="17">
    <w:name w:val="普通(网站)1"/>
    <w:basedOn w:val="15"/>
    <w:link w:val="16"/>
    <w:qFormat/>
    <w:uiPriority w:val="0"/>
    <w:pPr>
      <w:widowControl/>
      <w:spacing w:before="100" w:beforeAutospacing="1" w:after="100" w:afterAutospacing="1"/>
      <w:jc w:val="left"/>
    </w:pPr>
    <w:rPr>
      <w:rFonts w:ascii="宋体" w:hAnsi="宋体" w:cstheme="minorBidi"/>
      <w:kern w:val="2"/>
      <w:sz w:val="24"/>
    </w:rPr>
  </w:style>
  <w:style w:type="character" w:customStyle="1" w:styleId="18">
    <w:name w:val="font31"/>
    <w:link w:val="15"/>
    <w:qFormat/>
    <w:uiPriority w:val="0"/>
    <w:rPr>
      <w:rFonts w:ascii="Arial" w:hAnsi="Arial" w:eastAsia="宋体" w:cs="Arial"/>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2424</Words>
  <Characters>2681</Characters>
  <Lines>15</Lines>
  <Paragraphs>4</Paragraphs>
  <TotalTime>4</TotalTime>
  <ScaleCrop>false</ScaleCrop>
  <LinksUpToDate>false</LinksUpToDate>
  <CharactersWithSpaces>2759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2024-06-03T02:40:00Z</dcterms:created>
  <dc:creator>联审陈璐</dc:creator>
  <cp:lastModifiedBy>项</cp:lastModifiedBy>
  <dcterms:modified xsi:type="dcterms:W3CDTF">2025-03-24T02:22:52Z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eyJoZGlkIjoiNDg3ZTI1MDc3YjA1YTUyOTY4OGRiOGViNzdhZGUxZTkiLCJ1c2VySWQiOiIyMTgwOTE2MjcifQ==</vt:lpwstr>
  </property>
  <property fmtid="{D5CDD505-2E9C-101B-9397-08002B2CF9AE}" pid="3" name="KSOProductBuildVer">
    <vt:lpwstr>2052-12.1.0.20305</vt:lpwstr>
  </property>
  <property fmtid="{D5CDD505-2E9C-101B-9397-08002B2CF9AE}" pid="4" name="ICV">
    <vt:lpwstr>41D4B1716B6140C6897C2E70943EB401_12</vt:lpwstr>
  </property>
</Properties>
</file>