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厦门公物—竞争性谈判—GW2023-SH706—厦门海洋职业技术学院两校区食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single"/>
        </w:rPr>
        <w:t>堂空调线路改造—采购公告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项目编号：GW2023-SH706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项目名称：厦门海洋职业技术学院两校区食堂空调线路改造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预算金额：16.6万元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采购需求：厦门海洋职业技术学院两校区食堂空调线路改造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具体详见谈判文件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采购人发布开工通知后</w:t>
            </w:r>
            <w:r>
              <w:rPr>
                <w:rFonts w:hint="eastAsia" w:ascii="宋体" w:hAnsi="宋体"/>
                <w:sz w:val="24"/>
              </w:rPr>
              <w:t>30个日历日内竣工。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</w:t>
            </w:r>
            <w:r>
              <w:rPr>
                <w:rFonts w:ascii="宋体" w:hAnsi="宋体" w:cs="宋体"/>
                <w:b/>
                <w:kern w:val="0"/>
                <w:sz w:val="24"/>
              </w:rPr>
              <w:t>接受联合体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响应。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</w:t>
            </w:r>
            <w:r>
              <w:rPr>
                <w:rFonts w:ascii="宋体" w:hAnsi="宋体" w:cs="宋体"/>
                <w:b/>
                <w:kern w:val="0"/>
                <w:sz w:val="24"/>
              </w:rPr>
              <w:t>包专门面向中小企业采购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，供应商需提供《中小企业声明函》，未按要求提供的响应无效。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十一、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供应商应具有建设主管部门颁发的</w:t>
            </w:r>
            <w:r>
              <w:rPr>
                <w:rFonts w:hint="eastAsia" w:ascii="宋体" w:hAnsi="宋体" w:cs="Arial"/>
                <w:b/>
                <w:sz w:val="24"/>
              </w:rPr>
              <w:t>机电工程施工总承包三级及以上资质或</w:t>
            </w: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建筑</w:t>
            </w:r>
            <w:r>
              <w:rPr>
                <w:rFonts w:hint="eastAsia" w:ascii="宋体" w:hAnsi="宋体" w:cs="Arial"/>
                <w:b/>
                <w:sz w:val="24"/>
              </w:rPr>
              <w:t>机电</w:t>
            </w: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安装</w:t>
            </w:r>
            <w:r>
              <w:rPr>
                <w:rFonts w:hint="eastAsia" w:ascii="宋体" w:hAnsi="宋体" w:cs="Arial"/>
                <w:b/>
                <w:sz w:val="24"/>
              </w:rPr>
              <w:t>工程</w:t>
            </w:r>
            <w:r>
              <w:rPr>
                <w:rFonts w:hint="eastAsia" w:ascii="宋体" w:hAnsi="宋体" w:cs="Arial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cs="Arial"/>
                <w:b/>
                <w:sz w:val="24"/>
              </w:rPr>
              <w:t>三级及以上资质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，并提供资质证书和安全生产许可证复印件。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柴老师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6410B0E"/>
    <w:rsid w:val="126976C2"/>
    <w:rsid w:val="1E311151"/>
    <w:rsid w:val="319E66A5"/>
    <w:rsid w:val="4B09579E"/>
    <w:rsid w:val="6764704C"/>
    <w:rsid w:val="6CE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uiPriority w:val="99"/>
    <w:rPr>
      <w:sz w:val="18"/>
      <w:szCs w:val="18"/>
    </w:rPr>
  </w:style>
  <w:style w:type="character" w:customStyle="1" w:styleId="16">
    <w:name w:val="称呼 Char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11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2023-10-10T09:09:49Z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BAAE08455D9D496E8BC0F0D2D044C5FD_13</vt:lpwstr>
  </property>
</Properties>
</file>