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厦门公物—竞争性磋商—GW2023-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SH469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val="en-US" w:eastAsia="zh-CN"/>
        </w:rPr>
        <w:t>C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—厦门海洋职业技术学院翔安校区嘉则楼电梯采购—采购公告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项目编号：GW2023-SH469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项目名称：厦门海洋职业技术学院翔安校区嘉则楼电梯采购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采购方式：竞争性磋商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预算金额：28.15万元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采购需求：厦门海洋职业技术学院翔安校区嘉则楼电梯采购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数量1部，具体详见磋商文件。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合同履行期限：</w:t>
            </w:r>
            <w:r>
              <w:rPr>
                <w:rFonts w:hint="eastAsia" w:ascii="宋体" w:hAnsi="宋体"/>
                <w:sz w:val="24"/>
              </w:rPr>
              <w:t>成交结果公告发布后50个日历日内电梯安装调试完毕并通过主管部门检测和验收。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资信证明复印件或磋商担保函复印件。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，磋商当月成立或享受税收减免政策的供应商，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，磋商当月成立或享受社保减免政策的供应商，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信用信息查询渠道：通过“信用中国”网站（www.creditchina.gov.cn）、中国政府采购网（www.ccgp.gov.cn）、“信用厦门”网站（credit.xm.gov.cn）查询所有供应商的信用信息。2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截止时点：查询供应商响应文件递交截止当天前三年内的信用信息。3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接受联合体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响应。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采购人根据采购项目的要求规定的特定条件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供应商所提供电梯的制造商应具备有效的《中华人民共和国特种设备制造许可证》，并且曳引驱动乘客电梯制造许可等级为C级（含）以上。已换新证的制造商应具备有效的《中华人民共和国特种设备生产许可证》，许可项目：电梯制造（含安装、修理、改造），许可子项目：曳引驱动乘客电梯（含消防员电梯），许可参数应满足本项目电梯的额定速度要求。（注：其中许可证书中许可参数为"-"代表技术参数不限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供应商还应具备有效的《中华人民共和国特种设备安装改造维修许可证》，安装改造维修许可证载明的品种至少应包括：曳引驱动乘客电梯，级别为C级及以上；已换新证的供应商应具备有效的《中华人民共和国特种设备生产许可证》，许可项目为电梯安装（含修理），许可证载明的品种至少应包括：曳引驱动乘客电梯（含消防员电梯），级别为B级及以上，许可参数应满足本项目电梯的额定速度要求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获取方式：在线获取。请登录公e采电子招标采购服务平台（www.xmzfcg.com）进行实名获取，并在线下载采购文件。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开启时间：磋商小组全部签到完成后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自本公告发布之日起3个工作日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eastAsia="zh-CN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娄老师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0592-7769316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3.项目联系方式</w:t>
            </w:r>
          </w:p>
          <w:p>
            <w:pPr>
              <w:pStyle w:val="5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林小姐、许先生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151E01BA"/>
    <w:rsid w:val="20E83F29"/>
    <w:rsid w:val="3F0B48AB"/>
    <w:rsid w:val="43027FB0"/>
    <w:rsid w:val="65CA41BE"/>
    <w:rsid w:val="7017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color w:val="FF000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Salutation"/>
    <w:basedOn w:val="1"/>
    <w:next w:val="1"/>
    <w:link w:val="16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semiHidden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11"/>
    <w:link w:val="5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1974</Words>
  <Characters>2156</Characters>
  <Lines>7</Lines>
  <Paragraphs>1</Paragraphs>
  <TotalTime>7</TotalTime>
  <ScaleCrop>false</ScaleCrop>
  <LinksUpToDate>false</LinksUpToDate>
  <CharactersWithSpaces>2158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2023-07-24T08:38:50Z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F0BF694C953A4640AB5FD828A60BE066_13</vt:lpwstr>
  </property>
</Properties>
</file>