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rPr>
      </w:pPr>
      <w:r>
        <w:rPr>
          <w:rFonts w:hint="eastAsia" w:cs="Times New Roman" w:asciiTheme="minorEastAsia" w:hAnsiTheme="minorEastAsia"/>
          <w:b/>
          <w:bCs w:val="0"/>
          <w:color w:val="000000"/>
          <w:sz w:val="28"/>
          <w:szCs w:val="24"/>
          <w:u w:val="single"/>
        </w:rPr>
        <w:t>厦门公物—竞争性谈判—GW2023-SH478—厦门海洋职业技术学院翔安校区敦睦楼附楼档案室装修—采购公告</w:t>
      </w:r>
    </w:p>
    <w:p>
      <w:pPr>
        <w:spacing w:line="360" w:lineRule="auto"/>
        <w:rPr>
          <w:rFonts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采购项目内容：</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项目编号：GW2023-SH478</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项目名称：厦门海洋职业技术学院翔安校区敦睦楼附楼档案室装修</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预算金额：26.78万元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采购需求：厦门海洋职业技术学院翔安校区敦睦楼附楼档案室装修</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lang w:val="en-US" w:eastAsia="zh-CN"/>
              </w:rPr>
              <w:t>具体详见谈判文件。</w:t>
            </w:r>
          </w:p>
          <w:p>
            <w:pPr>
              <w:spacing w:line="360" w:lineRule="auto"/>
              <w:rPr>
                <w:rFonts w:hint="eastAsia" w:cs="宋体" w:asciiTheme="minorEastAsia" w:hAnsiTheme="minorEastAsia" w:eastAsiaTheme="minorEastAsia"/>
                <w:color w:val="000000" w:themeColor="text1"/>
                <w:sz w:val="24"/>
                <w:szCs w:val="24"/>
                <w:u w:val="single"/>
                <w:lang w:eastAsia="zh-CN"/>
              </w:rPr>
            </w:pPr>
            <w:r>
              <w:rPr>
                <w:rFonts w:hint="eastAsia" w:cs="宋体" w:asciiTheme="minorEastAsia" w:hAnsiTheme="minorEastAsia"/>
                <w:color w:val="000000" w:themeColor="text1"/>
                <w:sz w:val="24"/>
                <w:szCs w:val="24"/>
              </w:rPr>
              <w:t>合同履行期限：</w:t>
            </w:r>
            <w:r>
              <w:rPr>
                <w:rFonts w:hint="eastAsia" w:ascii="宋体" w:hAnsi="宋体" w:cs="Arial"/>
                <w:color w:val="000000"/>
                <w:sz w:val="24"/>
              </w:rPr>
              <w:t>成交结果公告发布后55</w:t>
            </w:r>
            <w:r>
              <w:rPr>
                <w:rFonts w:hint="eastAsia" w:ascii="宋体" w:hAnsi="宋体"/>
                <w:color w:val="000000"/>
                <w:sz w:val="24"/>
              </w:rPr>
              <w:t>个日</w:t>
            </w:r>
            <w:r>
              <w:rPr>
                <w:rFonts w:hint="eastAsia" w:ascii="宋体" w:hAnsi="宋体"/>
                <w:sz w:val="24"/>
              </w:rPr>
              <w:t>历日内竣工，并通过验收交付使用</w:t>
            </w:r>
            <w:r>
              <w:rPr>
                <w:rFonts w:hint="eastAsia" w:ascii="宋体" w:hAnsi="宋体"/>
                <w:sz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 xml:space="preserve">资信证明复印件或谈判担保函复印件。 </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，谈判当月成立或享受税收减免政策的供应商，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，谈判当月成立或享受社保减免政策的供应商，</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国家企业信用信息公示系统（www.gsxt.gov.cn）查询供应商的信用信息。2、截止时点：查询供应商截止提交响应文件当天前三年内的信用信息。3、查询记录和证据留存方式：将查询结果打印后随项目档案一并存档。 4、信用信息的使用规则：（1）查询结果显示供应商存在以下情形之一的，其资格审查不合格：①被“中国政府采购网”列入“政府采购严重违法失信行为信用记录”名单的；②被“信用中国”网站列入“失信被执行人”名单、“税收违法黑名单”的；③被“信用厦门”网站列入“失信被执行人”名单、“地方性黑名单”的；④被“国家企业信用信息公示系统” 列入“严重违法失信企业名单（黑名单）”的。（2）信用信息查询仅以资格审查时通过本条款规定网站的查询结果为准，除以上规定外，其他时间或其他网站的查询信息均不作为审查的依据。（3）联合体成员存在以上情形的，联合体资格审查不合格。5、供应商无需提供信用信息查询结果。若供应商自行提供查询结果的，仍以评审当天查询结果为准。</w:t>
            </w:r>
          </w:p>
          <w:p>
            <w:pPr>
              <w:widowControl/>
              <w:spacing w:line="360" w:lineRule="auto"/>
              <w:rPr>
                <w:rFonts w:hint="eastAsia" w:ascii="宋体" w:hAnsi="宋体" w:cs="宋体"/>
                <w:b/>
                <w:bCs/>
                <w:kern w:val="0"/>
                <w:sz w:val="24"/>
              </w:rPr>
            </w:pPr>
            <w:r>
              <w:rPr>
                <w:rFonts w:hint="eastAsia" w:ascii="宋体" w:hAnsi="宋体" w:cs="宋体"/>
                <w:b/>
                <w:bCs/>
                <w:kern w:val="0"/>
                <w:sz w:val="24"/>
                <w:lang w:val="en-US" w:eastAsia="zh-CN"/>
              </w:rPr>
              <w:t>九、</w:t>
            </w:r>
            <w:r>
              <w:rPr>
                <w:rFonts w:ascii="宋体" w:hAnsi="宋体" w:cs="宋体"/>
                <w:b/>
                <w:bCs/>
                <w:kern w:val="0"/>
                <w:sz w:val="24"/>
              </w:rPr>
              <w:t>本</w:t>
            </w:r>
            <w:r>
              <w:rPr>
                <w:rFonts w:hint="eastAsia" w:ascii="宋体" w:hAnsi="宋体" w:cs="宋体"/>
                <w:b/>
                <w:bCs/>
                <w:kern w:val="0"/>
                <w:sz w:val="24"/>
              </w:rPr>
              <w:t>合同</w:t>
            </w:r>
            <w:r>
              <w:rPr>
                <w:rFonts w:ascii="宋体" w:hAnsi="宋体" w:cs="宋体"/>
                <w:b/>
                <w:bCs/>
                <w:kern w:val="0"/>
                <w:sz w:val="24"/>
              </w:rPr>
              <w:t>包</w:t>
            </w:r>
            <w:r>
              <w:rPr>
                <w:rFonts w:hint="eastAsia" w:ascii="宋体" w:hAnsi="宋体" w:cs="宋体"/>
                <w:b/>
                <w:bCs/>
                <w:kern w:val="0"/>
                <w:sz w:val="24"/>
              </w:rPr>
              <w:t>不</w:t>
            </w:r>
            <w:r>
              <w:rPr>
                <w:rFonts w:ascii="宋体" w:hAnsi="宋体" w:cs="宋体"/>
                <w:b/>
                <w:bCs/>
                <w:kern w:val="0"/>
                <w:sz w:val="24"/>
              </w:rPr>
              <w:t>接受联合体</w:t>
            </w:r>
            <w:r>
              <w:rPr>
                <w:rFonts w:hint="eastAsia" w:ascii="宋体" w:hAnsi="宋体" w:cs="宋体"/>
                <w:b/>
                <w:bCs/>
                <w:kern w:val="0"/>
                <w:sz w:val="24"/>
              </w:rPr>
              <w:t>响应。</w:t>
            </w:r>
          </w:p>
          <w:p>
            <w:pPr>
              <w:widowControl/>
              <w:spacing w:line="360" w:lineRule="auto"/>
              <w:rPr>
                <w:rFonts w:hint="eastAsia" w:ascii="宋体" w:hAnsi="宋体" w:cs="宋体"/>
                <w:b/>
                <w:bCs/>
                <w:kern w:val="0"/>
                <w:sz w:val="24"/>
              </w:rPr>
            </w:pPr>
            <w:r>
              <w:rPr>
                <w:rFonts w:hint="eastAsia" w:ascii="宋体" w:hAnsi="宋体" w:cs="宋体"/>
                <w:b/>
                <w:bCs/>
                <w:kern w:val="0"/>
                <w:sz w:val="24"/>
                <w:lang w:val="en-US" w:eastAsia="zh-CN"/>
              </w:rPr>
              <w:t>十、</w:t>
            </w:r>
            <w:r>
              <w:rPr>
                <w:rFonts w:ascii="宋体" w:hAnsi="宋体" w:cs="宋体"/>
                <w:b/>
                <w:bCs/>
                <w:kern w:val="0"/>
                <w:sz w:val="24"/>
              </w:rPr>
              <w:t>本</w:t>
            </w:r>
            <w:r>
              <w:rPr>
                <w:rFonts w:hint="eastAsia" w:ascii="宋体" w:hAnsi="宋体" w:cs="宋体"/>
                <w:b/>
                <w:bCs/>
                <w:kern w:val="0"/>
                <w:sz w:val="24"/>
              </w:rPr>
              <w:t>合同</w:t>
            </w:r>
            <w:r>
              <w:rPr>
                <w:rFonts w:ascii="宋体" w:hAnsi="宋体" w:cs="宋体"/>
                <w:b/>
                <w:bCs/>
                <w:kern w:val="0"/>
                <w:sz w:val="24"/>
              </w:rPr>
              <w:t>包专门面向中小企业采购</w:t>
            </w:r>
            <w:r>
              <w:rPr>
                <w:rFonts w:hint="eastAsia" w:ascii="宋体" w:hAnsi="宋体" w:cs="宋体"/>
                <w:b/>
                <w:bCs/>
                <w:kern w:val="0"/>
                <w:sz w:val="24"/>
              </w:rPr>
              <w:t>，供应商需提供《中小企业声明函》，未按要求提供的响应无效。</w:t>
            </w:r>
          </w:p>
          <w:p>
            <w:pPr>
              <w:widowControl/>
              <w:spacing w:line="360" w:lineRule="auto"/>
              <w:rPr>
                <w:rFonts w:hint="eastAsia" w:asciiTheme="minorEastAsia" w:hAnsiTheme="minorEastAsia" w:eastAsiaTheme="minorEastAsia"/>
                <w:color w:val="000000" w:themeColor="text1"/>
                <w:sz w:val="24"/>
                <w:szCs w:val="24"/>
                <w:lang w:eastAsia="zh-CN"/>
              </w:rPr>
            </w:pPr>
            <w:r>
              <w:rPr>
                <w:rFonts w:hint="eastAsia" w:ascii="宋体" w:hAnsi="宋体" w:cs="宋体"/>
                <w:b/>
                <w:bCs/>
                <w:kern w:val="0"/>
                <w:sz w:val="24"/>
                <w:lang w:val="en-US" w:eastAsia="zh-CN"/>
              </w:rPr>
              <w:t>十一、</w:t>
            </w:r>
            <w:r>
              <w:rPr>
                <w:rFonts w:ascii="宋体" w:hAnsi="宋体" w:cs="宋体"/>
                <w:b/>
                <w:bCs/>
                <w:kern w:val="0"/>
                <w:sz w:val="24"/>
                <w:highlight w:val="none"/>
              </w:rPr>
              <w:t>供应商应具有建设主管部门颁发</w:t>
            </w:r>
            <w:r>
              <w:rPr>
                <w:rFonts w:hint="eastAsia" w:ascii="宋体" w:hAnsi="宋体" w:cs="宋体"/>
                <w:b/>
                <w:bCs/>
                <w:kern w:val="0"/>
                <w:sz w:val="24"/>
                <w:highlight w:val="none"/>
              </w:rPr>
              <w:t>装建筑工程施工总承包三级或建筑装修装饰工程专业承包资质二级及以上资质和特种工程专业承包资质（结构补强），并提供资质证书复印件。</w:t>
            </w:r>
            <w:r>
              <w:rPr>
                <w:rFonts w:hint="eastAsia" w:ascii="宋体" w:hAnsi="宋体" w:cs="宋体"/>
                <w:b/>
                <w:bCs/>
                <w:kern w:val="0"/>
                <w:sz w:val="24"/>
              </w:rPr>
              <w:t>供应商须提供有效的安全生产许可证复印件。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年</w:t>
            </w:r>
            <w:r>
              <w:rPr>
                <w:rFonts w:hint="eastAsia" w:asciiTheme="minorEastAsia" w:hAnsiTheme="minorEastAsia"/>
                <w:color w:val="000000" w:themeColor="text1"/>
                <w:sz w:val="24"/>
                <w:szCs w:val="24"/>
                <w:lang w:val="en-US" w:eastAsia="zh-CN"/>
              </w:rPr>
              <w:t>7</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19</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获取方式：请登录公e采电子招标采购服务平台（www.xmzfcg.com）进行实名获取，并在线下载采购文件。</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hint="default" w:cs="Times New Roman" w:asciiTheme="minorEastAsia" w:hAnsiTheme="minorEastAsia" w:eastAsiaTheme="minorEastAsia"/>
                <w:bCs/>
                <w:color w:val="000000"/>
                <w:sz w:val="24"/>
                <w:szCs w:val="24"/>
                <w:lang w:val="en-US" w:eastAsia="zh-CN"/>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23</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7</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20</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00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w:t>
            </w:r>
            <w:r>
              <w:rPr>
                <w:rFonts w:hint="eastAsia" w:cs="Times New Roman" w:asciiTheme="minorEastAsia" w:hAnsiTheme="minorEastAsia"/>
                <w:bCs/>
                <w:color w:val="000000"/>
                <w:sz w:val="24"/>
                <w:szCs w:val="24"/>
                <w:lang w:val="en-US" w:eastAsia="zh-CN"/>
              </w:rPr>
              <w:t>18</w:t>
            </w:r>
            <w:r>
              <w:rPr>
                <w:rFonts w:hint="eastAsia" w:cs="Times New Roman" w:asciiTheme="minorEastAsia" w:hAnsiTheme="minorEastAsia"/>
                <w:bCs/>
                <w:color w:val="000000"/>
                <w:sz w:val="24"/>
                <w:szCs w:val="24"/>
              </w:rPr>
              <w:t>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bookmarkStart w:id="0" w:name="_GoBack"/>
            <w:bookmarkEnd w:id="0"/>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rPr>
              <w:t>厦门海洋职业技术学院</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ascii="宋体" w:hAnsi="宋体" w:cs="宋体"/>
                <w:kern w:val="0"/>
                <w:sz w:val="24"/>
              </w:rPr>
              <w:t>福建省厦门市翔安区洪钟大道4566号</w:t>
            </w:r>
          </w:p>
          <w:p>
            <w:pPr>
              <w:spacing w:line="360" w:lineRule="auto"/>
              <w:rPr>
                <w:rFonts w:hint="eastAsia"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联系方式：</w:t>
            </w:r>
            <w:r>
              <w:rPr>
                <w:rFonts w:hint="eastAsia" w:cs="宋体" w:asciiTheme="minorEastAsia" w:hAnsiTheme="minorEastAsia" w:eastAsiaTheme="minorEastAsia"/>
                <w:kern w:val="0"/>
                <w:sz w:val="24"/>
              </w:rPr>
              <w:t>翁老师</w:t>
            </w:r>
            <w:r>
              <w:rPr>
                <w:rFonts w:hint="eastAsia" w:cs="宋体" w:asciiTheme="minorEastAsia" w:hAnsiTheme="minorEastAsia"/>
                <w:kern w:val="0"/>
                <w:sz w:val="24"/>
                <w:lang w:eastAsia="zh-CN"/>
              </w:rPr>
              <w:t>，</w:t>
            </w:r>
            <w:r>
              <w:rPr>
                <w:rFonts w:hint="eastAsia" w:cs="宋体" w:asciiTheme="minorEastAsia" w:hAnsiTheme="minorEastAsia" w:eastAsiaTheme="minorEastAsia"/>
                <w:kern w:val="0"/>
                <w:sz w:val="24"/>
              </w:rPr>
              <w:t>13799282813</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5"/>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林萍、许世松</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hint="eastAsia" w:cs="宋体" w:asciiTheme="minorEastAsia" w:hAnsiTheme="minorEastAsia"/>
                <w:color w:val="000000" w:themeColor="text1"/>
                <w:sz w:val="24"/>
                <w:szCs w:val="24"/>
                <w:lang w:val="en-US" w:eastAsia="zh-CN"/>
              </w:rPr>
              <w:t>2229570、2279305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IxNWEwMWUwMWY4NmE4NjY5ZjNiZTE5ZTMyYz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33695677"/>
    <w:rsid w:val="53761497"/>
    <w:rsid w:val="756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color w:val="FF0000"/>
    </w:rPr>
  </w:style>
  <w:style w:type="paragraph" w:styleId="3">
    <w:name w:val="Body Text First Indent"/>
    <w:basedOn w:val="2"/>
    <w:unhideWhenUsed/>
    <w:qFormat/>
    <w:uiPriority w:val="99"/>
    <w:pPr>
      <w:spacing w:after="120"/>
      <w:ind w:firstLine="420" w:firstLineChars="100"/>
    </w:pPr>
  </w:style>
  <w:style w:type="paragraph" w:styleId="4">
    <w:name w:val="Salutation"/>
    <w:basedOn w:val="1"/>
    <w:next w:val="1"/>
    <w:link w:val="16"/>
    <w:qFormat/>
    <w:uiPriority w:val="0"/>
    <w:rPr>
      <w:rFonts w:ascii="Times New Roman" w:hAnsi="Times New Roman" w:eastAsia="宋体" w:cs="Times New Roman"/>
      <w:sz w:val="28"/>
      <w:szCs w:val="24"/>
    </w:rPr>
  </w:style>
  <w:style w:type="paragraph" w:styleId="5">
    <w:name w:val="Plain Text"/>
    <w:basedOn w:val="1"/>
    <w:link w:val="17"/>
    <w:semiHidden/>
    <w:unhideWhenUsed/>
    <w:qFormat/>
    <w:uiPriority w:val="99"/>
    <w:pPr>
      <w:spacing w:line="360" w:lineRule="auto"/>
    </w:pPr>
    <w:rPr>
      <w:rFonts w:ascii="宋体" w:hAnsi="Courier New" w:eastAsia="宋体"/>
      <w:sz w:val="24"/>
      <w:szCs w:val="20"/>
    </w:rPr>
  </w:style>
  <w:style w:type="paragraph" w:styleId="6">
    <w:name w:val="Balloon Text"/>
    <w:basedOn w:val="1"/>
    <w:link w:val="15"/>
    <w:semiHidden/>
    <w:unhideWhenUsed/>
    <w:uiPriority w:val="99"/>
    <w:rPr>
      <w:sz w:val="18"/>
      <w:szCs w:val="18"/>
    </w:rPr>
  </w:style>
  <w:style w:type="paragraph" w:styleId="7">
    <w:name w:val="footer"/>
    <w:basedOn w:val="1"/>
    <w:link w:val="14"/>
    <w:semiHidden/>
    <w:unhideWhenUsed/>
    <w:uiPriority w:val="99"/>
    <w:pPr>
      <w:tabs>
        <w:tab w:val="center" w:pos="4153"/>
        <w:tab w:val="right" w:pos="8306"/>
      </w:tabs>
      <w:snapToGrid w:val="0"/>
      <w:jc w:val="left"/>
    </w:pPr>
    <w:rPr>
      <w:sz w:val="18"/>
      <w:szCs w:val="18"/>
    </w:rPr>
  </w:style>
  <w:style w:type="paragraph" w:styleId="8">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uiPriority w:val="99"/>
    <w:rPr>
      <w:color w:val="0000FF" w:themeColor="hyperlink"/>
      <w:u w:val="single"/>
    </w:rPr>
  </w:style>
  <w:style w:type="character" w:customStyle="1" w:styleId="13">
    <w:name w:val="页眉 Char"/>
    <w:basedOn w:val="11"/>
    <w:link w:val="8"/>
    <w:semiHidden/>
    <w:uiPriority w:val="99"/>
    <w:rPr>
      <w:sz w:val="18"/>
      <w:szCs w:val="18"/>
    </w:rPr>
  </w:style>
  <w:style w:type="character" w:customStyle="1" w:styleId="14">
    <w:name w:val="页脚 Char"/>
    <w:basedOn w:val="11"/>
    <w:link w:val="7"/>
    <w:semiHidden/>
    <w:uiPriority w:val="99"/>
    <w:rPr>
      <w:sz w:val="18"/>
      <w:szCs w:val="18"/>
    </w:rPr>
  </w:style>
  <w:style w:type="character" w:customStyle="1" w:styleId="15">
    <w:name w:val="批注框文本 Char"/>
    <w:basedOn w:val="11"/>
    <w:link w:val="6"/>
    <w:semiHidden/>
    <w:qFormat/>
    <w:uiPriority w:val="99"/>
    <w:rPr>
      <w:sz w:val="18"/>
      <w:szCs w:val="18"/>
    </w:rPr>
  </w:style>
  <w:style w:type="character" w:customStyle="1" w:styleId="16">
    <w:name w:val="称呼 Char"/>
    <w:basedOn w:val="11"/>
    <w:link w:val="4"/>
    <w:qFormat/>
    <w:uiPriority w:val="0"/>
    <w:rPr>
      <w:rFonts w:ascii="Times New Roman" w:hAnsi="Times New Roman" w:eastAsia="宋体" w:cs="Times New Roman"/>
      <w:sz w:val="28"/>
      <w:szCs w:val="24"/>
    </w:rPr>
  </w:style>
  <w:style w:type="character" w:customStyle="1" w:styleId="17">
    <w:name w:val="纯文本 Char"/>
    <w:basedOn w:val="11"/>
    <w:link w:val="5"/>
    <w:semiHidden/>
    <w:uiPriority w:val="99"/>
    <w:rPr>
      <w:rFonts w:ascii="宋体" w:hAnsi="Courier New" w:eastAsia="宋体"/>
      <w:sz w:val="24"/>
      <w:szCs w:val="20"/>
    </w:rPr>
  </w:style>
  <w:style w:type="paragraph" w:styleId="18">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4</Pages>
  <Words>1886</Words>
  <Characters>2085</Characters>
  <Lines>7</Lines>
  <Paragraphs>1</Paragraphs>
  <TotalTime>1</TotalTime>
  <ScaleCrop>false</ScaleCrop>
  <LinksUpToDate>false</LinksUpToDate>
  <CharactersWithSpaces>2088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2023-07-14T09:48:35Z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E71C634AA0A8420FAE3EB8481A05EDBD_13</vt:lpwstr>
  </property>
</Properties>
</file>