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SH582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厦门海洋职业技术学院动力设备实训室分油机及管路系统改造换新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SH58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项目名称：厦门海洋职业技术学院动力设备实训室分油机及管路系统改造换新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采购需求：厦门海洋职业技术学院动力设备实训室分油机及管路系统改造换新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合同签订之日起2个月内交付，供应商应提供送货上门和上门安装、维修保养、测试等。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/>
                <w:sz w:val="24"/>
              </w:rPr>
              <w:t>柴老师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3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D383BE4"/>
    <w:rsid w:val="0FB339D5"/>
    <w:rsid w:val="1C3C3521"/>
    <w:rsid w:val="4DFA3453"/>
    <w:rsid w:val="7C9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5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称呼 Char"/>
    <w:basedOn w:val="9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Char"/>
    <w:basedOn w:val="9"/>
    <w:link w:val="3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6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2023-09-01T01:43:21Z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66C783D238C940F2834B43C312F0C67A_13</vt:lpwstr>
  </property>
</Properties>
</file>